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9a05408bb467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23761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KRALJA TOMISLAVA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2.966.068,30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3.475.929,98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2.977.062,77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3.650.979,96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10.994,47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175.049,98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1592,2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30.552,06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105.606,34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30.552,06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105.106,34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41.546,53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280.156,32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674,3</w:t>
            </w:r>
          </w:p>
        </w:tc>
      </w:tr>
    </w:tbl>
    <w:p>
      <w:pPr>
        <w:spacing w:before="0" w:after="0"/>
      </w:pPr>
    </w:p>
    <w:p>
      <w:r>
        <w:t xml:space="preserve">Ukupni prihodi poslovanja manji su od ukupnih rashoda poslovanja, jer je u rashodima poslovanja iskazana plaća za prosinac, 2025. godine u iznosu od   226.961,44 eura, plaća za pomoćnike u nastavi Učimo zajedno 8 u iznosu od 18.408,53 eura. Tu su još i rashodi za prosinac, 2025. godine - troškovi prehrane, materijalni rashodi u iznosu od 40.995,99 eura. Manjak prihoda poslovanja prebijen je s viškom prihoda poslovanja i iskazan je manjak prihoda poslovanja u iznosu od 175.049,98 eura. Ukupni prihodi od prodaje nefinancijske imovine odnose se na prihode za prodaju kombi vozila i imamo rashode za nabavu nefinancijske imovine, te je i tu iskazan manjak od nefinancijske imovine u iznosu od 105.106,34 eura, što ukupno iznosi 280.156,32 eura. Manjak prihoda i primitaka koji je iskazan je posljedica smanjenje naplate prihoda, odnosno priznavanja kontinuiranih rashoda koji će biti plaćeni u siječnju, 2026. godine.</w:t>
      </w:r>
    </w:p>
    <w:p>
      <w:r>
        <w:t xml:space="preserve">Potraživanja koja se odnose za prosinac, 2025. godine iznose 282.768,20 eura i to 241.605,00 eura iz izvora financiranja--pomoći i 41.163,20 eura iz izvora financiranja - opći prihodi. Tu su još i prihodi koje trebamo dobiti za pred financiranje, kako bih zatvorili obveze i povećali prihod u iznosu od 89.296,25 eura, a time ćemo smanjiti i manjak na nefinancijskoj imovini. Isto tako ćemo prenijeti i prihode od pomoći EU temeljem odobrenog Završnog izvješća i zatvaranjem izvan bilančne evidencije u iznosu od 56.379,00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30.881,67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92.507,24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299,6</w:t>
            </w:r>
          </w:p>
        </w:tc>
      </w:tr>
    </w:tbl>
    <w:p>
      <w:pPr>
        <w:spacing w:before="0" w:after="0"/>
      </w:pPr>
    </w:p>
    <w:p>
      <w:r>
        <w:t xml:space="preserve">U obrascu PR RAS došlo je do većeg odstupanja na kapitalnim pomoćima proračunskim korisnicima iz proračuna koji im nije nadležan, iz razloga što smo prošle godine imali samo nabavku udžbenika, a ove godine smo 31.12.2025. g. dobili novac za radove na Područnoj školi u Markovcu Našičkom, u iznosu od 57.420,79 eura. Neiskorišteni kapitalni prihodi prenose se u sljedeću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Tekuća donacija, koju nismo imali prošle godine, a ove godine se odnosi na sufinanciranje rada školske filmske družine u iznosu od 1.600,00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4.455,14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695,0</w:t>
            </w:r>
          </w:p>
        </w:tc>
      </w:tr>
    </w:tbl>
    <w:p>
      <w:pPr>
        <w:spacing w:before="0" w:after="0"/>
      </w:pPr>
    </w:p>
    <w:p>
      <w:r>
        <w:t xml:space="preserve">Podatak se odnosi na donaciju pametne ploče, od Nexe dd Našice u iznosu od 2.421,25 eura i na donacije knjiga za školsku knjižnicu.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17.047,00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1437,4</w:t>
            </w:r>
          </w:p>
        </w:tc>
      </w:tr>
    </w:tbl>
    <w:p>
      <w:pPr>
        <w:spacing w:before="0" w:after="0"/>
      </w:pPr>
    </w:p>
    <w:p>
      <w:r>
        <w:t xml:space="preserve">U prihodima iz nadležnog proračuna za financiranje rashoda za nabavu nefinancijske imovine indeks je 1437,4%, jer smo od županije dobili da možemo nabaviti računala za potrebe škole u iznosu od 15.000,00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2.487.166,62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3.076.961,86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123,7</w:t>
            </w:r>
          </w:p>
        </w:tc>
      </w:tr>
    </w:tbl>
    <w:p>
      <w:pPr>
        <w:spacing w:before="0" w:after="0"/>
      </w:pPr>
    </w:p>
    <w:p>
      <w:r>
        <w:t xml:space="preserve">Rashodi za zaposlene su povećani, uslijed povećanja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2.942,00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50.563,48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1718,7</w:t>
            </w:r>
          </w:p>
        </w:tc>
      </w:tr>
    </w:tbl>
    <w:p>
      <w:pPr>
        <w:spacing w:before="0" w:after="0"/>
      </w:pPr>
    </w:p>
    <w:p>
      <w:r>
        <w:t xml:space="preserve">Indeks 1718,7% na stručno usavršavanje zaposlenika je rezultat što je škola uključena u ERASMUS program od 04.07.2025. godine, i odnosi se na putovanja i stručna usavršavanja djelatnika (46.961,11 eura na program ERASMUS, a ostalo na redovna stručna usavršavanja zaposlenika u iznosu od 3.602,37 eura).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325,0</w:t>
            </w:r>
          </w:p>
        </w:tc>
      </w:tr>
    </w:tbl>
    <w:p>
      <w:pPr>
        <w:spacing w:before="0" w:after="0"/>
      </w:pPr>
    </w:p>
    <w:p>
      <w:r>
        <w:t xml:space="preserve">Usluge promidžbe i informiranja-do povećanja dolazi zbog objave oglasa za ravnatelja u Narodnim novinama.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10.994,47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175.049,98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1592,2</w:t>
            </w:r>
          </w:p>
        </w:tc>
      </w:tr>
    </w:tbl>
    <w:p>
      <w:pPr>
        <w:spacing w:before="0" w:after="0"/>
      </w:pPr>
    </w:p>
    <w:p>
      <w:r>
        <w:t xml:space="preserve">Ostvaren je manjak prihoda u iznosu od 175.049,98 eura iz razloga što su uključeni kontinuirani rashodi za 2025.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20.625,00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68.681,25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333,0</w:t>
            </w:r>
          </w:p>
        </w:tc>
      </w:tr>
    </w:tbl>
    <w:p>
      <w:pPr>
        <w:spacing w:before="0" w:after="0"/>
      </w:pPr>
    </w:p>
    <w:p>
      <w:r>
        <w:t xml:space="preserve">Dodatna ulaganja na građevinskim objektima, indeks je 333,0%, plaćena je druga faza projektne dokumentacije u iznosu od 68.681,25 eura  a odnosi se na dogradnju škole u jednoj smjeni, a prethodne godine je bila prva faza izrade projektne dokumentacije u  iznosu od 20,625,00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282.768,20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glavnoj knjizi i analitičkim evidencijama evidentira se ukupan iznos potraživanja zaduženjem odgovarajućeg osnovnog računa u skupini 16-Potraživanje za prihode poslovanja u visini ukupnog iznosa potraživanja te odobrenjem odgovarajućeg osnovnog računa obračunatih prihoda u skupini 96-Obračunati prihodi poslovanja u visini ukupnog iznosa potraživanja.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tekuće obveze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22.427,24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Stanje na računu 239 ostale tekuće obveze je stanje na dan 31.12.2024. godine, a prenijeto je sa 01.01.2025. godine u početno stanje na odgovarajuće račune u okviru skupine 27.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215.073,50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                                                                             </w:t>
      </w:r>
    </w:p>
    <w:p>
      <w:r>
        <w:t xml:space="preserve">31.12.2024. 92211-višak prihoda poslovanja         16.565,07  </w:t>
      </w:r>
    </w:p>
    <w:p>
      <w:r>
        <w:t xml:space="preserve">31.12.2025. 92221-manjak prihoda poslovanja    175.049,98 </w:t>
      </w:r>
    </w:p>
    <w:p>
      <w:r>
        <w:t xml:space="preserve">31.12.2025.           -korekcija rezultata                     56.598,59 </w:t>
      </w:r>
    </w:p>
    <w:p>
      <w:r>
        <w:t xml:space="preserve">31.12.2025. 92221-manjak prihoda poslovanja     215.083,50</w:t>
      </w:r>
    </w:p>
    <w:p>
      <w:r>
        <w:t xml:space="preserve">31.12.2024. 92222-manjak prihoda od NI                84.248,52</w:t>
      </w:r>
    </w:p>
    <w:p>
      <w:r>
        <w:t xml:space="preserve">31.12.2025. 92222-manjak prihoda od NI              105.106,34 </w:t>
      </w:r>
    </w:p>
    <w:p>
      <w:r>
        <w:t xml:space="preserve">31.12.2025.            -korekcija rezultata                     56.598,59   </w:t>
      </w:r>
    </w:p>
    <w:p>
      <w:r>
        <w:t xml:space="preserve">31.12.2025. 92222-manjak prihoda od NI              132.756,27</w:t>
      </w:r>
    </w:p>
    <w:p>
      <w:r>
        <w:t xml:space="preserve">31.12.2025. 9222   -manjak prihoda i primitaka      347.839,77</w:t>
      </w:r>
    </w:p>
    <w:p>
      <w:r>
        <w:t xml:space="preserve">                             </w:t>
      </w:r>
    </w:p>
    <w:p>
      <w:r>
        <w:t xml:space="preserve">Za iznose prihoda od nefinancijske imovine koji su tijekom godine utrošeni za financiranje rashoda poslovanja koji pripadaju kategoriji kapitalnih rashoda u skladu sa člankom 70. stavka 2 Zakona o proračunu, zadužuje se račun viška ili manjka prihoda od nefinancijske imovine, odobrava račun viška ili manjka prihoda. </w:t>
      </w:r>
    </w:p>
    <w:p>
      <w:r>
        <w:t xml:space="preserve">Provedena korekcija:</w:t>
      </w:r>
    </w:p>
    <w:p>
      <w:r>
        <w:t xml:space="preserve">6632 Kapitalne donacije                     4.455,14</w:t>
      </w:r>
    </w:p>
    <w:p>
      <w:r>
        <w:t xml:space="preserve">6712 Prihodi za fin. rashoda za         17.047,00</w:t>
      </w:r>
    </w:p>
    <w:p>
      <w:r>
        <w:t xml:space="preserve">          nabavu NI</w:t>
      </w:r>
    </w:p>
    <w:p>
      <w:r>
        <w:t xml:space="preserve">6362 Kapitalne pomoći iz DP             35.096,45</w:t>
      </w:r>
    </w:p>
    <w:p>
      <w:r>
        <w:t xml:space="preserve">           Ukupno :                                  56.598,99</w:t>
      </w:r>
    </w:p>
    <w:p>
      <w:r>
        <w:t xml:space="preserve">Po izvorima financiranja:                                        Izvor financiranja </w:t>
      </w:r>
    </w:p>
    <w:p>
      <w:r>
        <w:t xml:space="preserve">6632 Kapitalne donacije                     4.455,14             62-donacije</w:t>
      </w:r>
    </w:p>
    <w:p>
      <w:r>
        <w:t xml:space="preserve">6712 Prihodi za fin. rashoda za         17.047,00            11-opći prihodi</w:t>
      </w:r>
    </w:p>
    <w:p>
      <w:r>
        <w:t xml:space="preserve">          nabavu NI</w:t>
      </w:r>
    </w:p>
    <w:p>
      <w:r>
        <w:t xml:space="preserve">6362 Kapitalne pomoći iz DP             35.096,45             54-pomoći  </w:t>
      </w:r>
    </w:p>
    <w:p>
      <w:r>
        <w:t xml:space="preserve">           Ukupno :                                  56.598,99</w:t>
      </w:r>
    </w:p>
    <w:p>
      <w:r>
        <w:t xml:space="preserve">Za iznos od 57.420,79 eura koji smo dobili iz državnog proračuna 31.12.2025. godine nismo izvršili korekciju, jer nismo imali nikakve aktivnosti. Taj iznos je ostao , realiziran će biti u 2026. godini, akumulirati će se na 4-rashodi za nefinancijsku imovinu, i bit će manjak od nefinancijske imovine. Donijet ćemo odluku o raspodjeli rezultata u 2026. godini kojom  ćemo povećati manjak od nefinancijske imovine i rasporediti ga na višak od nefinancijske imovine, i tada višak i manjak od nefinancijske imovine prebiti. </w:t>
      </w:r>
    </w:p>
    <w:p>
      <w:r>
        <w:t xml:space="preserve">Manjak poslovanja izvor financiranja 11 i manjak poslovanja izvor financiranja 54-pomoći je metodološki manjak koji će se pokriti prihodima doznačenim u siječnju, 2026. godine, a u pomoćima je još uključeno i pred financiranje kada ćemo kad dobijemo novac zatvoriti 27611-obveze proračunskih korisnika za povrat u proračun i provesti prihod poslovanja, te smanjiti manjak od nefinancijske imovine, a isto tako ćemo kada se završi projekt ERASMUS, i kada dobijemo odobreno Završno izvješće, zatvoriti 27511-obveze za predujmove i taj prihod prenijeti na prihode poslovanja.</w:t>
      </w:r>
    </w:p>
    <w:p>
      <w:r>
        <w:t xml:space="preserve">Člankom 15. Pravilnika o financijskom izvještavanju u proračunskom računovodstvu propisana je obveza sastavljanja obveznih bilješki uz bilancu:</w:t>
      </w:r>
    </w:p>
    <w:p>
      <w:pPr>
        <w:pStyle w:val="ListParagraph"/>
        <w:numPr>
          <w:ilvl w:val="0"/>
          <w:numId w:val="2"/>
        </w:numPr>
      </w:pPr>
      <w:r>
        <w:t xml:space="preserve">Popis ugovornih odnosa i slično koji uz ispunjenje određenih uvjeta, mogu postati obveza ili imovina (dana kreditna pisma, hipoteke i slično)</w:t>
      </w:r>
    </w:p>
    <w:p>
      <w:r>
        <w:t xml:space="preserve">     2. Popis sudskih sporova u tijeku, koje Osnovna škola kralja Tomislava nema.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Tuđa imovina dobivena na korištenje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626.682,91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626.682,91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Prema članku 85. Pravilnika o proračunskom računovodstvu i računskom planu, izvan bilančni zapisi sadrže stavke koje su vezane ali nisu uključene u bilančne kategorije i to prema poslovnim događajima koji su dio izvan bilančne evidencije-energetska obnova zgrade OŠ kralja Tomislava Našice u iznosu od 626.682,91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po ugovorima o dodijeljenim bespovratnim sredstvima iz EU fondova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56.379,00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Izvan bilančnoj evidenciji se vode i preuzete obveze po ugovoru o dodijeljenim bespovratnim sredstvima 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3.007.614,83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3.756.586,30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124,9</w:t>
            </w:r>
          </w:p>
        </w:tc>
      </w:tr>
    </w:tbl>
    <w:p>
      <w:pPr>
        <w:spacing w:before="0" w:after="0"/>
      </w:pPr>
    </w:p>
    <w:p>
      <w:r>
        <w:t xml:space="preserve">Obrazac prikazuje rashode prema funkcijskoj klasifikaciji. Rashodi razreda 3 i 4 razvrstani su prema funkciji kojoj služe, pri čemu su rashodi nabave nefinancijske imovine uključeni u istu funkciju, kao i pripadajuću rashodi poslovanja. Povećanje rashoda u funkciji obrazovanja rezultat je ulaganja u nefinancijsku imovinu tijekom izvještajnog razdoblja.</w:t>
      </w:r>
    </w:p>
    <w:p>
      <w:r>
        <w:t xml:space="preserve">Navedeni rashodi iskazani us i na obrascu PR RAS Y034.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Članak 12. Pravilnika o proračunskom računovodstvu-ispravak vrijednosti dugotrajne imovine koji se provodi krajem svake godine, tijekom cijelog procijenjenog korisnog vijeka upotrebe ili prilikom stavljanja u upotrebu preko 915. Tako je knjiženje ispravka vrijednosti provedeno preko 91511-Promjene u obujmu i vrijednosti imovine, a u samom obrascu u stupcu-Smanjenja.</w:t>
      </w:r>
    </w:p>
    <w:p>
      <w:r>
        <w:t xml:space="preserve">Imali smo još i isknjiženje imovine, za kombi vozilo, za koje je u potpunosti proveden ispravak vrijednosti i u obrascu nismo unosili nikakvu vrijednost.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292.887,64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 V001 iskazano je stanje obveza 01. siječnja 2025. godine u iznosu od 292.887,64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Povećanje obveza u izvještajnom razdoblju (šifre V003+N23+N24 + 'N dio 25,26'+N27)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3.703.813,19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V002 prikazuje povećanje obveza u izvještajnom razdoblju u iznosu od 3.703,813,19 eura , a podmirene obveze u izvještajnom razdoblju iznose 3.577.958,94 eura i iskazane su na V004.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418.741,89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V006 prikazuje stanje obveza na kraju izvještajnog razdoblja u iznosu od 418.741,89 eura. Stanje obveza u bilanci je veće za 198,00 eura i iznosi 418.939,89 eura, razlika je u iznosu za unaprijed plaćeni prihodi po izlaznim računima.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134.399,45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odnosi se na D27-obveze za predujmove, depozite, jamčevne pologe i tuđe prihode, a sastoji se od obveza za pred financiranje u iznosu od 89.296,25 eura, te obveza za EU predujmove u iznosu od 45.103,20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134.399,45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Podatak koji je iskazan i na V007.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284.342,44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V009 Stanje nedospjelih obveza na kraju izvještajnog razdoblja, obveze koje nastaju krajem svakog izvještajnog razdoblja, ali nisu dospjele. Tu je uključena plaća za prosinac u iznosu od 241,605,00 eura, a ostalo se odnosi na obveze za materijalne rashode u iznosu od 41.005,99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V010-međusobne obveze subjekata općeg proračuna odnose se na bolovanje preko 42 dana u iznosu od 1731,45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Izvještaj sadrži stanje potraživanja za tekuće pomoći iz državnog proračuna temeljem prijenosa EU sredstava u iznosu od  46.961,11 eura.</w:t>
      </w:r>
    </w:p>
    <w:p>
      <w:r>
        <w:t xml:space="preserve">Stanje obveza za EU predujmove iskazano na 27511-obveze za EU predujmove dane od institucija i tijela EU u iznosu od 45.103,20 eura, koji su doznačeni na račun škole 04.07.2025. godine.</w:t>
      </w:r>
    </w:p>
    <w:p>
      <w:r>
        <w:t xml:space="preserve">Na 96381-obračunati prihodi poslovanja u visini nastalih rashoda po provedbi projekta u iznosu od 46.961,11 eura.</w:t>
      </w:r>
    </w:p>
    <w:p>
      <w:r>
        <w:t xml:space="preserve">Ugovor o dodjeli bespovratnih financijskih sredstava evidentiran je u izvan bilančnoj evidenciji u iznosu od 56.379,00 eura (to je cjelokupna vrijednost sklopljenog ugovora) na kontima 99171-potraživanja po ugovorima o dodijeljenim bespovratnim sredstvima iz EU fondova i 99653-preuzete obveze po ugovorima o dodjeli bespovratnih sredstava  EU fondova. </w:t>
      </w:r>
    </w:p>
    <w:p>
      <w:r>
        <w:t xml:space="preserve">Na 3213-Stručno usavršavanje zaposlenih evidentirani su rashodi vezani uz mobilnost djelatnika.</w:t>
      </w:r>
    </w:p>
    <w:p>
      <w:r>
        <w:t xml:space="preserve"> 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ecima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ea7d7ebfb040c8" /><Relationship Type="http://schemas.openxmlformats.org/officeDocument/2006/relationships/numbering" Target="/word/numbering.xml" Id="Raa9dccfd55f0403c" /></Relationships>
</file>