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8C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Naziv obveznika: Osnovna škola kralja Tomislava 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Broj RKP-a: 23761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Sjedište obveznika: Našice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Matični broj: 01672525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Adresa sjedišta obveznika: Ulica Matice hrvatske 1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OIB: 86358961388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Razina : 31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Razdjel: </w:t>
      </w:r>
      <w:r w:rsidR="00C86647">
        <w:rPr>
          <w:b/>
          <w:sz w:val="24"/>
          <w:szCs w:val="24"/>
        </w:rPr>
        <w:t>0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Šifra djelatnosti prema NKD-u 2007.: 8520-osnovnoškolsko obrazovanje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 xml:space="preserve">Šifra županije: 14-Osječko-baranjska </w:t>
      </w: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Šifra grada/općine: 278-Našice</w:t>
      </w:r>
    </w:p>
    <w:p w:rsidR="001175B3" w:rsidRPr="00BF1732" w:rsidRDefault="001175B3">
      <w:pPr>
        <w:rPr>
          <w:sz w:val="24"/>
          <w:szCs w:val="24"/>
        </w:rPr>
      </w:pPr>
    </w:p>
    <w:p w:rsidR="001175B3" w:rsidRPr="00BF1732" w:rsidRDefault="001175B3" w:rsidP="006C498F">
      <w:pPr>
        <w:jc w:val="center"/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BILJEŠKE</w:t>
      </w:r>
    </w:p>
    <w:p w:rsidR="001175B3" w:rsidRDefault="001175B3" w:rsidP="006C498F">
      <w:pPr>
        <w:jc w:val="center"/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UZ FINANCISJKE IZVJEŠTAJE ZA RAZDOBLJE OD 01. SIJEČNJA DO 31. PROSINCA 2022. GODINE</w:t>
      </w:r>
    </w:p>
    <w:p w:rsidR="00F76700" w:rsidRDefault="00F76700" w:rsidP="00F76700">
      <w:pPr>
        <w:rPr>
          <w:b/>
          <w:sz w:val="24"/>
          <w:szCs w:val="24"/>
        </w:rPr>
      </w:pPr>
      <w:r>
        <w:rPr>
          <w:b/>
          <w:sz w:val="24"/>
          <w:szCs w:val="24"/>
        </w:rPr>
        <w:t>Uvodni dio</w:t>
      </w:r>
    </w:p>
    <w:p w:rsidR="00F76700" w:rsidRPr="00F25990" w:rsidRDefault="00F76700" w:rsidP="00F76700">
      <w:pPr>
        <w:rPr>
          <w:sz w:val="24"/>
          <w:szCs w:val="24"/>
        </w:rPr>
      </w:pPr>
      <w:r w:rsidRPr="00F25990">
        <w:rPr>
          <w:sz w:val="24"/>
          <w:szCs w:val="24"/>
        </w:rPr>
        <w:t>Osnovna škola kralja Tomi</w:t>
      </w:r>
      <w:r w:rsidR="009F5854">
        <w:rPr>
          <w:sz w:val="24"/>
          <w:szCs w:val="24"/>
        </w:rPr>
        <w:t>s</w:t>
      </w:r>
      <w:r w:rsidRPr="00F25990">
        <w:rPr>
          <w:sz w:val="24"/>
          <w:szCs w:val="24"/>
        </w:rPr>
        <w:t>lava Našice posluje u skladu s a Zakonom o odgoju i obrazovanju, te Statutu škole.</w:t>
      </w:r>
    </w:p>
    <w:p w:rsidR="00F76700" w:rsidRPr="00F25990" w:rsidRDefault="00F76700" w:rsidP="00F76700">
      <w:pPr>
        <w:rPr>
          <w:sz w:val="24"/>
          <w:szCs w:val="24"/>
        </w:rPr>
      </w:pPr>
      <w:r w:rsidRPr="00F25990">
        <w:rPr>
          <w:sz w:val="24"/>
          <w:szCs w:val="24"/>
        </w:rPr>
        <w:t xml:space="preserve">Nastava se izvodi prema nastavnim planovima i programima koje je donijelo Ministarstvo znanosti i obrazovanja, prema godišnjem planu i programu, te </w:t>
      </w:r>
      <w:r w:rsidR="00F25990">
        <w:rPr>
          <w:sz w:val="24"/>
          <w:szCs w:val="24"/>
        </w:rPr>
        <w:t>š</w:t>
      </w:r>
      <w:r w:rsidRPr="00F25990">
        <w:rPr>
          <w:sz w:val="24"/>
          <w:szCs w:val="24"/>
        </w:rPr>
        <w:t>ko</w:t>
      </w:r>
      <w:r w:rsidR="00F25990">
        <w:rPr>
          <w:sz w:val="24"/>
          <w:szCs w:val="24"/>
        </w:rPr>
        <w:t>l</w:t>
      </w:r>
      <w:r w:rsidRPr="00F25990">
        <w:rPr>
          <w:sz w:val="24"/>
          <w:szCs w:val="24"/>
        </w:rPr>
        <w:t>skom kurikulumu.</w:t>
      </w:r>
    </w:p>
    <w:p w:rsidR="00F76700" w:rsidRDefault="00F76700" w:rsidP="00F76700">
      <w:pPr>
        <w:rPr>
          <w:sz w:val="24"/>
          <w:szCs w:val="24"/>
        </w:rPr>
      </w:pPr>
      <w:r w:rsidRPr="00F25990">
        <w:rPr>
          <w:sz w:val="24"/>
          <w:szCs w:val="24"/>
        </w:rPr>
        <w:t>Sukladno odredbama pravilnika o proračunskom računovodstvu i računskom planu (Narodn</w:t>
      </w:r>
      <w:r w:rsidR="00F25990">
        <w:rPr>
          <w:sz w:val="24"/>
          <w:szCs w:val="24"/>
        </w:rPr>
        <w:t>e</w:t>
      </w:r>
      <w:r w:rsidRPr="00F25990">
        <w:rPr>
          <w:sz w:val="24"/>
          <w:szCs w:val="24"/>
        </w:rPr>
        <w:t xml:space="preserve"> novine </w:t>
      </w:r>
      <w:proofErr w:type="spellStart"/>
      <w:r w:rsidRPr="00F25990">
        <w:rPr>
          <w:sz w:val="24"/>
          <w:szCs w:val="24"/>
        </w:rPr>
        <w:t>br</w:t>
      </w:r>
      <w:proofErr w:type="spellEnd"/>
      <w:r w:rsidR="009F5854">
        <w:rPr>
          <w:sz w:val="24"/>
          <w:szCs w:val="24"/>
        </w:rPr>
        <w:t xml:space="preserve"> </w:t>
      </w:r>
      <w:r w:rsidRPr="00F25990">
        <w:rPr>
          <w:sz w:val="24"/>
          <w:szCs w:val="24"/>
        </w:rPr>
        <w:t>.3/15., 93/15., 1</w:t>
      </w:r>
      <w:r w:rsidR="002B4C5C">
        <w:rPr>
          <w:sz w:val="24"/>
          <w:szCs w:val="24"/>
        </w:rPr>
        <w:t>1</w:t>
      </w:r>
      <w:r w:rsidRPr="00F25990">
        <w:rPr>
          <w:sz w:val="24"/>
          <w:szCs w:val="24"/>
        </w:rPr>
        <w:t>5/15.,</w:t>
      </w:r>
      <w:r w:rsidR="009F5854">
        <w:rPr>
          <w:sz w:val="24"/>
          <w:szCs w:val="24"/>
        </w:rPr>
        <w:t xml:space="preserve"> </w:t>
      </w:r>
      <w:r w:rsidR="002B4C5C">
        <w:rPr>
          <w:sz w:val="24"/>
          <w:szCs w:val="24"/>
        </w:rPr>
        <w:t xml:space="preserve">87/2016., </w:t>
      </w:r>
      <w:r w:rsidRPr="00F25990">
        <w:rPr>
          <w:sz w:val="24"/>
          <w:szCs w:val="24"/>
        </w:rPr>
        <w:t xml:space="preserve"> 2/17., 38/17., </w:t>
      </w:r>
      <w:r w:rsidR="002B4C5C">
        <w:rPr>
          <w:sz w:val="24"/>
          <w:szCs w:val="24"/>
        </w:rPr>
        <w:t>3</w:t>
      </w:r>
      <w:r w:rsidRPr="00F25990">
        <w:rPr>
          <w:sz w:val="24"/>
          <w:szCs w:val="24"/>
        </w:rPr>
        <w:t>/18., 126/19.,</w:t>
      </w:r>
      <w:r w:rsidR="002B4C5C">
        <w:rPr>
          <w:sz w:val="24"/>
          <w:szCs w:val="24"/>
        </w:rPr>
        <w:t>108/20</w:t>
      </w:r>
      <w:r w:rsidRPr="00F25990">
        <w:rPr>
          <w:sz w:val="24"/>
          <w:szCs w:val="24"/>
        </w:rPr>
        <w:t>. i 32/21.</w:t>
      </w:r>
      <w:r w:rsidR="00F25990" w:rsidRPr="00F25990">
        <w:rPr>
          <w:sz w:val="24"/>
          <w:szCs w:val="24"/>
        </w:rPr>
        <w:t>) te Zakona o proračunu čl. 105 (Narodn</w:t>
      </w:r>
      <w:r w:rsidR="00F25990">
        <w:rPr>
          <w:sz w:val="24"/>
          <w:szCs w:val="24"/>
        </w:rPr>
        <w:t>e</w:t>
      </w:r>
      <w:r w:rsidR="00F25990" w:rsidRPr="00F25990">
        <w:rPr>
          <w:sz w:val="24"/>
          <w:szCs w:val="24"/>
        </w:rPr>
        <w:t xml:space="preserve"> novine br. 87/08., 136/12., i </w:t>
      </w:r>
      <w:r w:rsidR="002B4C5C">
        <w:rPr>
          <w:sz w:val="24"/>
          <w:szCs w:val="24"/>
        </w:rPr>
        <w:t>1</w:t>
      </w:r>
      <w:r w:rsidR="00F25990" w:rsidRPr="00F25990">
        <w:rPr>
          <w:sz w:val="24"/>
          <w:szCs w:val="24"/>
        </w:rPr>
        <w:t>15/15.</w:t>
      </w:r>
      <w:r w:rsidR="002B4C5C">
        <w:rPr>
          <w:sz w:val="24"/>
          <w:szCs w:val="24"/>
        </w:rPr>
        <w:t xml:space="preserve">,  i </w:t>
      </w:r>
      <w:r w:rsidR="000026D8">
        <w:rPr>
          <w:sz w:val="24"/>
          <w:szCs w:val="24"/>
        </w:rPr>
        <w:t>144</w:t>
      </w:r>
      <w:r w:rsidR="002B4C5C">
        <w:rPr>
          <w:sz w:val="24"/>
          <w:szCs w:val="24"/>
        </w:rPr>
        <w:t>/202</w:t>
      </w:r>
      <w:r w:rsidR="000026D8">
        <w:rPr>
          <w:sz w:val="24"/>
          <w:szCs w:val="24"/>
        </w:rPr>
        <w:t>1</w:t>
      </w:r>
      <w:r w:rsidR="002B4C5C">
        <w:rPr>
          <w:sz w:val="24"/>
          <w:szCs w:val="24"/>
        </w:rPr>
        <w:t>.</w:t>
      </w:r>
      <w:r w:rsidR="00F25990" w:rsidRPr="00F25990">
        <w:rPr>
          <w:sz w:val="24"/>
          <w:szCs w:val="24"/>
        </w:rPr>
        <w:t>) i Okružnice o sastavljanju, konsolidaciji i predaji financijskih izvještaja proračuna i izvanproračunskih korisnika proračuna jedinica lokalne i područne (regionalne) samouprave (klasa: 400-02/22-01/26, ur</w:t>
      </w:r>
      <w:r w:rsidR="009F5854">
        <w:rPr>
          <w:sz w:val="24"/>
          <w:szCs w:val="24"/>
        </w:rPr>
        <w:t xml:space="preserve">udžbeni  </w:t>
      </w:r>
      <w:r w:rsidR="00F25990" w:rsidRPr="00F25990">
        <w:rPr>
          <w:sz w:val="24"/>
          <w:szCs w:val="24"/>
        </w:rPr>
        <w:t>broj: 513-05-03-23-6 od 12. siječnja 2023. godine sastavljen je financij</w:t>
      </w:r>
      <w:r w:rsidR="00F25990">
        <w:rPr>
          <w:sz w:val="24"/>
          <w:szCs w:val="24"/>
        </w:rPr>
        <w:t>s</w:t>
      </w:r>
      <w:r w:rsidR="00F25990" w:rsidRPr="00F25990">
        <w:rPr>
          <w:sz w:val="24"/>
          <w:szCs w:val="24"/>
        </w:rPr>
        <w:t>ki izvještaj za razdoblje siječanj-prosinac 2022. godine koji se sastoji od Bilance, izvještaja o prihodima i rashodima, primicima i izdacima</w:t>
      </w:r>
      <w:r w:rsidR="00F25990">
        <w:rPr>
          <w:sz w:val="24"/>
          <w:szCs w:val="24"/>
        </w:rPr>
        <w:t>, izvještaja o rashodima prema funkcijskoj klasifikaciji, izvještaja o promjenama u vrijednosti i obujmu imovine i obveza, izvještaja o obvezama i bilješki.</w:t>
      </w:r>
      <w:r w:rsidR="00F25990" w:rsidRPr="00F25990">
        <w:rPr>
          <w:sz w:val="24"/>
          <w:szCs w:val="24"/>
        </w:rPr>
        <w:t xml:space="preserve"> </w:t>
      </w:r>
      <w:r w:rsidRPr="00F25990">
        <w:rPr>
          <w:sz w:val="24"/>
          <w:szCs w:val="24"/>
        </w:rPr>
        <w:t xml:space="preserve">  </w:t>
      </w:r>
    </w:p>
    <w:p w:rsidR="00F25990" w:rsidRDefault="00F25990" w:rsidP="00F76700">
      <w:pPr>
        <w:rPr>
          <w:sz w:val="24"/>
          <w:szCs w:val="24"/>
        </w:rPr>
      </w:pPr>
      <w:r>
        <w:rPr>
          <w:sz w:val="24"/>
          <w:szCs w:val="24"/>
        </w:rPr>
        <w:t>Izjavljujemo da smo proračunski korisnik, ali nismo obveznici poreza na dodanu vrijednost.</w:t>
      </w:r>
    </w:p>
    <w:p w:rsidR="00F25990" w:rsidRPr="00F25990" w:rsidRDefault="00F25990" w:rsidP="00F76700">
      <w:pPr>
        <w:rPr>
          <w:sz w:val="24"/>
          <w:szCs w:val="24"/>
        </w:rPr>
      </w:pPr>
      <w:r>
        <w:rPr>
          <w:sz w:val="24"/>
          <w:szCs w:val="24"/>
        </w:rPr>
        <w:t>Iskazivanje prihoda i rashoda priznaje se uz primj</w:t>
      </w:r>
      <w:r w:rsidR="00854B5D">
        <w:rPr>
          <w:sz w:val="24"/>
          <w:szCs w:val="24"/>
        </w:rPr>
        <w:t>e</w:t>
      </w:r>
      <w:r>
        <w:rPr>
          <w:sz w:val="24"/>
          <w:szCs w:val="24"/>
        </w:rPr>
        <w:t xml:space="preserve">nu računovodstvenih načela nastanka događaja. Prihodi se priznaju prema novčanom načelu-kada su naplaćeni, </w:t>
      </w:r>
      <w:r w:rsidR="00B158EE">
        <w:rPr>
          <w:sz w:val="24"/>
          <w:szCs w:val="24"/>
        </w:rPr>
        <w:t>a rashodi se priznaju temeljem načela nastanka događaja.</w:t>
      </w:r>
    </w:p>
    <w:p w:rsidR="001175B3" w:rsidRPr="00C86647" w:rsidRDefault="001175B3">
      <w:pPr>
        <w:rPr>
          <w:b/>
          <w:sz w:val="24"/>
          <w:szCs w:val="24"/>
        </w:rPr>
      </w:pPr>
      <w:r w:rsidRPr="00C86647">
        <w:rPr>
          <w:b/>
          <w:sz w:val="24"/>
          <w:szCs w:val="24"/>
        </w:rPr>
        <w:lastRenderedPageBreak/>
        <w:t>Bilješke uz obrazac Bilanca</w:t>
      </w:r>
    </w:p>
    <w:p w:rsidR="005A4BD4" w:rsidRDefault="00F02565">
      <w:pPr>
        <w:rPr>
          <w:sz w:val="24"/>
          <w:szCs w:val="24"/>
        </w:rPr>
      </w:pPr>
      <w:r>
        <w:rPr>
          <w:sz w:val="24"/>
          <w:szCs w:val="24"/>
        </w:rPr>
        <w:t>Bilanca predstavlja ravnotežu između imovine (nefinancijska imovina</w:t>
      </w:r>
      <w:r w:rsidR="005A4BD4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5A4B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financijska imovina) </w:t>
      </w:r>
      <w:r w:rsidR="005A4BD4">
        <w:rPr>
          <w:sz w:val="24"/>
          <w:szCs w:val="24"/>
        </w:rPr>
        <w:t>i obveza i vlastitih izvora.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2"/>
        <w:gridCol w:w="1463"/>
        <w:gridCol w:w="1436"/>
        <w:gridCol w:w="1614"/>
        <w:gridCol w:w="1614"/>
        <w:gridCol w:w="1453"/>
      </w:tblGrid>
      <w:tr w:rsidR="005A4BD4" w:rsidTr="005A4BD4"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 iz računskog plana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stavke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Šifra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1. siječnja</w:t>
            </w:r>
          </w:p>
        </w:tc>
        <w:tc>
          <w:tcPr>
            <w:tcW w:w="1511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Stanje 31.prosinca</w:t>
            </w:r>
          </w:p>
        </w:tc>
        <w:tc>
          <w:tcPr>
            <w:tcW w:w="1511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Indeks 5/4</w:t>
            </w:r>
          </w:p>
        </w:tc>
      </w:tr>
      <w:tr w:rsidR="005A4BD4" w:rsidTr="005A4BD4"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5A4BD4" w:rsidRDefault="005A4BD4" w:rsidP="005A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4BD4" w:rsidTr="005A4BD4"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Imovina</w:t>
            </w: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B001</w:t>
            </w: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28.320.354,00</w:t>
            </w:r>
          </w:p>
        </w:tc>
        <w:tc>
          <w:tcPr>
            <w:tcW w:w="1511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28.377.469,44</w:t>
            </w:r>
          </w:p>
        </w:tc>
        <w:tc>
          <w:tcPr>
            <w:tcW w:w="1511" w:type="dxa"/>
          </w:tcPr>
          <w:p w:rsidR="005A4BD4" w:rsidRDefault="005A4BD4" w:rsidP="00594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100,20</w:t>
            </w:r>
          </w:p>
        </w:tc>
      </w:tr>
      <w:tr w:rsidR="005A4BD4" w:rsidTr="005A4BD4"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Obveze i vlastiti izvori</w:t>
            </w:r>
          </w:p>
        </w:tc>
        <w:tc>
          <w:tcPr>
            <w:tcW w:w="1510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B003</w:t>
            </w:r>
          </w:p>
        </w:tc>
        <w:tc>
          <w:tcPr>
            <w:tcW w:w="1510" w:type="dxa"/>
          </w:tcPr>
          <w:p w:rsidR="005A4BD4" w:rsidRDefault="005A4BD4" w:rsidP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28.320.354,00</w:t>
            </w:r>
          </w:p>
        </w:tc>
        <w:tc>
          <w:tcPr>
            <w:tcW w:w="1511" w:type="dxa"/>
          </w:tcPr>
          <w:p w:rsidR="005A4BD4" w:rsidRDefault="005A4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28.377.469,44</w:t>
            </w:r>
          </w:p>
        </w:tc>
        <w:tc>
          <w:tcPr>
            <w:tcW w:w="1511" w:type="dxa"/>
          </w:tcPr>
          <w:p w:rsidR="005A4BD4" w:rsidRDefault="005A4BD4" w:rsidP="00594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100,20</w:t>
            </w:r>
          </w:p>
        </w:tc>
      </w:tr>
    </w:tbl>
    <w:p w:rsidR="00F02565" w:rsidRDefault="00F02565">
      <w:pPr>
        <w:rPr>
          <w:sz w:val="24"/>
          <w:szCs w:val="24"/>
        </w:rPr>
      </w:pPr>
    </w:p>
    <w:p w:rsidR="0059444A" w:rsidRDefault="0059444A">
      <w:pPr>
        <w:rPr>
          <w:sz w:val="24"/>
          <w:szCs w:val="24"/>
        </w:rPr>
      </w:pPr>
      <w:r>
        <w:rPr>
          <w:sz w:val="24"/>
          <w:szCs w:val="24"/>
        </w:rPr>
        <w:t>922 Višak/manjak prihoda –podaci u bilanci iskazani su nakon obvezne korekcije rezultata sukladno članku 82. Pravilnika o proračunskom računovodstvu te je iskazan višak prihoda poslovanja u iznosu od 7</w:t>
      </w:r>
      <w:r w:rsidR="009F5854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9F5854">
        <w:rPr>
          <w:sz w:val="24"/>
          <w:szCs w:val="24"/>
        </w:rPr>
        <w:t>257</w:t>
      </w:r>
      <w:r>
        <w:rPr>
          <w:sz w:val="24"/>
          <w:szCs w:val="24"/>
        </w:rPr>
        <w:t>,3</w:t>
      </w:r>
      <w:r w:rsidR="009F5854">
        <w:rPr>
          <w:sz w:val="24"/>
          <w:szCs w:val="24"/>
        </w:rPr>
        <w:t>6</w:t>
      </w:r>
      <w:r>
        <w:rPr>
          <w:sz w:val="24"/>
          <w:szCs w:val="24"/>
        </w:rPr>
        <w:t>, a manjak prihoda poslovanja od nefinancijske imovine u iznosu od 802.611,35.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5"/>
        <w:gridCol w:w="1810"/>
        <w:gridCol w:w="1809"/>
        <w:gridCol w:w="1829"/>
        <w:gridCol w:w="1809"/>
      </w:tblGrid>
      <w:tr w:rsidR="0059444A" w:rsidTr="00C86647">
        <w:tc>
          <w:tcPr>
            <w:tcW w:w="1805" w:type="dxa"/>
          </w:tcPr>
          <w:p w:rsidR="0059444A" w:rsidRDefault="0059444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59444A" w:rsidRDefault="0059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Pozicije na dan 31.12.2022.</w:t>
            </w:r>
          </w:p>
        </w:tc>
        <w:tc>
          <w:tcPr>
            <w:tcW w:w="1809" w:type="dxa"/>
          </w:tcPr>
          <w:p w:rsidR="0059444A" w:rsidRDefault="0059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RAS</w:t>
            </w:r>
          </w:p>
        </w:tc>
        <w:tc>
          <w:tcPr>
            <w:tcW w:w="1829" w:type="dxa"/>
          </w:tcPr>
          <w:p w:rsidR="0059444A" w:rsidRPr="0059444A" w:rsidRDefault="0059444A" w:rsidP="0059444A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Korekcija kapitalni prijenosi</w:t>
            </w:r>
          </w:p>
        </w:tc>
        <w:tc>
          <w:tcPr>
            <w:tcW w:w="1809" w:type="dxa"/>
          </w:tcPr>
          <w:p w:rsidR="0059444A" w:rsidRDefault="0059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Bilanca</w:t>
            </w:r>
          </w:p>
        </w:tc>
      </w:tr>
      <w:tr w:rsidR="0059444A" w:rsidTr="00C86647">
        <w:tc>
          <w:tcPr>
            <w:tcW w:w="1805" w:type="dxa"/>
          </w:tcPr>
          <w:p w:rsidR="0059444A" w:rsidRDefault="0059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92211</w:t>
            </w:r>
          </w:p>
        </w:tc>
        <w:tc>
          <w:tcPr>
            <w:tcW w:w="1810" w:type="dxa"/>
          </w:tcPr>
          <w:p w:rsidR="0059444A" w:rsidRDefault="0059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poslovanja</w:t>
            </w:r>
          </w:p>
        </w:tc>
        <w:tc>
          <w:tcPr>
            <w:tcW w:w="1809" w:type="dxa"/>
          </w:tcPr>
          <w:p w:rsidR="0059444A" w:rsidRDefault="0061589A" w:rsidP="009F5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585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  <w:r w:rsidR="009F5854">
              <w:rPr>
                <w:sz w:val="24"/>
                <w:szCs w:val="24"/>
              </w:rPr>
              <w:t>913</w:t>
            </w:r>
            <w:r>
              <w:rPr>
                <w:sz w:val="24"/>
                <w:szCs w:val="24"/>
              </w:rPr>
              <w:t>,0</w:t>
            </w:r>
            <w:r w:rsidR="009F5854">
              <w:rPr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59444A" w:rsidRDefault="0061589A" w:rsidP="0025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-284.614,52</w:t>
            </w:r>
          </w:p>
        </w:tc>
        <w:tc>
          <w:tcPr>
            <w:tcW w:w="1809" w:type="dxa"/>
          </w:tcPr>
          <w:p w:rsidR="0059444A" w:rsidRDefault="0061589A" w:rsidP="009F5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585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  <w:r w:rsidR="009F5854">
              <w:rPr>
                <w:sz w:val="24"/>
                <w:szCs w:val="24"/>
              </w:rPr>
              <w:t>701</w:t>
            </w:r>
            <w:r>
              <w:rPr>
                <w:sz w:val="24"/>
                <w:szCs w:val="24"/>
              </w:rPr>
              <w:t>,4</w:t>
            </w:r>
            <w:r w:rsidR="009F5854">
              <w:rPr>
                <w:sz w:val="24"/>
                <w:szCs w:val="24"/>
              </w:rPr>
              <w:t>9</w:t>
            </w:r>
          </w:p>
        </w:tc>
      </w:tr>
      <w:tr w:rsidR="0059444A" w:rsidTr="00C86647">
        <w:tc>
          <w:tcPr>
            <w:tcW w:w="1805" w:type="dxa"/>
          </w:tcPr>
          <w:p w:rsidR="0059444A" w:rsidRDefault="0059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92222</w:t>
            </w:r>
          </w:p>
        </w:tc>
        <w:tc>
          <w:tcPr>
            <w:tcW w:w="1810" w:type="dxa"/>
          </w:tcPr>
          <w:p w:rsidR="0059444A" w:rsidRDefault="0061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Manjak prihoda od nefinancijske imovine</w:t>
            </w:r>
          </w:p>
        </w:tc>
        <w:tc>
          <w:tcPr>
            <w:tcW w:w="1809" w:type="dxa"/>
          </w:tcPr>
          <w:p w:rsidR="0059444A" w:rsidRDefault="0061589A" w:rsidP="0025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354.542,13</w:t>
            </w:r>
          </w:p>
        </w:tc>
        <w:tc>
          <w:tcPr>
            <w:tcW w:w="1829" w:type="dxa"/>
          </w:tcPr>
          <w:p w:rsidR="0059444A" w:rsidRDefault="0061589A" w:rsidP="0025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284.614,52</w:t>
            </w:r>
          </w:p>
        </w:tc>
        <w:tc>
          <w:tcPr>
            <w:tcW w:w="1809" w:type="dxa"/>
          </w:tcPr>
          <w:p w:rsidR="0059444A" w:rsidRDefault="0061589A" w:rsidP="0025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69.927,61</w:t>
            </w:r>
          </w:p>
        </w:tc>
      </w:tr>
      <w:tr w:rsidR="0059444A" w:rsidTr="00C86647">
        <w:tc>
          <w:tcPr>
            <w:tcW w:w="1805" w:type="dxa"/>
          </w:tcPr>
          <w:p w:rsidR="0059444A" w:rsidRDefault="0061589A" w:rsidP="0061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92211</w:t>
            </w:r>
          </w:p>
        </w:tc>
        <w:tc>
          <w:tcPr>
            <w:tcW w:w="1810" w:type="dxa"/>
          </w:tcPr>
          <w:p w:rsidR="0059444A" w:rsidRDefault="0061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 prihoda poslovanja preneseni</w:t>
            </w:r>
          </w:p>
        </w:tc>
        <w:tc>
          <w:tcPr>
            <w:tcW w:w="1809" w:type="dxa"/>
          </w:tcPr>
          <w:p w:rsidR="0059444A" w:rsidRDefault="0061589A" w:rsidP="0025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29.075,11</w:t>
            </w:r>
          </w:p>
        </w:tc>
        <w:tc>
          <w:tcPr>
            <w:tcW w:w="1829" w:type="dxa"/>
          </w:tcPr>
          <w:p w:rsidR="0059444A" w:rsidRDefault="0059444A" w:rsidP="00251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9444A" w:rsidRDefault="0061589A" w:rsidP="0025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29.075,11</w:t>
            </w:r>
          </w:p>
        </w:tc>
      </w:tr>
      <w:tr w:rsidR="0059444A" w:rsidTr="00C86647">
        <w:tc>
          <w:tcPr>
            <w:tcW w:w="1805" w:type="dxa"/>
          </w:tcPr>
          <w:p w:rsidR="0059444A" w:rsidRDefault="0061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1810" w:type="dxa"/>
          </w:tcPr>
          <w:p w:rsidR="0059444A" w:rsidRDefault="00615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Višak/manjak</w:t>
            </w:r>
          </w:p>
        </w:tc>
        <w:tc>
          <w:tcPr>
            <w:tcW w:w="1809" w:type="dxa"/>
          </w:tcPr>
          <w:p w:rsidR="0059444A" w:rsidRDefault="009F5854" w:rsidP="009F5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158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553</w:t>
            </w:r>
            <w:r w:rsidR="0061589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59444A" w:rsidRDefault="0059444A" w:rsidP="00251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9444A" w:rsidRDefault="009F5854" w:rsidP="009F5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158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553,</w:t>
            </w:r>
            <w:r w:rsidR="0061589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C86647" w:rsidRDefault="00C86647">
      <w:pPr>
        <w:rPr>
          <w:sz w:val="24"/>
          <w:szCs w:val="24"/>
        </w:rPr>
      </w:pPr>
    </w:p>
    <w:p w:rsidR="00C86647" w:rsidRDefault="002517C2">
      <w:pPr>
        <w:rPr>
          <w:sz w:val="24"/>
          <w:szCs w:val="24"/>
        </w:rPr>
      </w:pPr>
      <w:r>
        <w:rPr>
          <w:sz w:val="24"/>
          <w:szCs w:val="24"/>
        </w:rPr>
        <w:t xml:space="preserve">Tijekom 2022. godine evidentirani su na računima kapitalnih prijenosa sredstva u iznosu od </w:t>
      </w:r>
    </w:p>
    <w:p w:rsidR="002517C2" w:rsidRDefault="002517C2">
      <w:pPr>
        <w:rPr>
          <w:sz w:val="24"/>
          <w:szCs w:val="24"/>
        </w:rPr>
      </w:pPr>
      <w:r>
        <w:rPr>
          <w:sz w:val="24"/>
          <w:szCs w:val="24"/>
        </w:rPr>
        <w:t>284.614,52 koja su utrošena za nabavu dugotrajne nefinancijske imovine:</w:t>
      </w:r>
    </w:p>
    <w:p w:rsidR="002517C2" w:rsidRDefault="002517C2">
      <w:pPr>
        <w:rPr>
          <w:sz w:val="24"/>
          <w:szCs w:val="24"/>
        </w:rPr>
      </w:pPr>
      <w:r>
        <w:rPr>
          <w:sz w:val="24"/>
          <w:szCs w:val="24"/>
        </w:rPr>
        <w:t>6362-kapitalne pomoći proračunskim korisnicima 212.340,91</w:t>
      </w:r>
    </w:p>
    <w:p w:rsidR="002517C2" w:rsidRDefault="002517C2">
      <w:pPr>
        <w:rPr>
          <w:sz w:val="24"/>
          <w:szCs w:val="24"/>
        </w:rPr>
      </w:pPr>
      <w:r>
        <w:rPr>
          <w:sz w:val="24"/>
          <w:szCs w:val="24"/>
        </w:rPr>
        <w:t>6632-kapitalne donacije 60.539,61</w:t>
      </w:r>
    </w:p>
    <w:p w:rsidR="002517C2" w:rsidRDefault="002517C2">
      <w:pPr>
        <w:rPr>
          <w:sz w:val="24"/>
          <w:szCs w:val="24"/>
        </w:rPr>
      </w:pPr>
      <w:r>
        <w:rPr>
          <w:sz w:val="24"/>
          <w:szCs w:val="24"/>
        </w:rPr>
        <w:t>6712-prihodi iz nadležnog proračuna za financiranje rashoda za nabavu nefinancijske imovine -11.734,00.</w:t>
      </w:r>
    </w:p>
    <w:p w:rsidR="002517C2" w:rsidRDefault="002517C2">
      <w:pPr>
        <w:rPr>
          <w:sz w:val="24"/>
          <w:szCs w:val="24"/>
        </w:rPr>
      </w:pPr>
      <w:r>
        <w:rPr>
          <w:sz w:val="24"/>
          <w:szCs w:val="24"/>
        </w:rPr>
        <w:t>Provedena je korekcija rezultata na način da se za iznos 284.614,52 zaduži račun viška prihoda poslovanja, a odobrava račun manjka prihoda poslovanja od nefinancijske imovine.</w:t>
      </w:r>
    </w:p>
    <w:p w:rsidR="00E754D8" w:rsidRDefault="002517C2">
      <w:pPr>
        <w:rPr>
          <w:sz w:val="24"/>
          <w:szCs w:val="24"/>
        </w:rPr>
      </w:pPr>
      <w:r>
        <w:rPr>
          <w:sz w:val="24"/>
          <w:szCs w:val="24"/>
        </w:rPr>
        <w:t xml:space="preserve">Izvan bilančni zapisi na aktivi i pasivi odnose se na opremu dobivenu od </w:t>
      </w:r>
      <w:proofErr w:type="spellStart"/>
      <w:r>
        <w:rPr>
          <w:sz w:val="24"/>
          <w:szCs w:val="24"/>
        </w:rPr>
        <w:t>Carneta</w:t>
      </w:r>
      <w:proofErr w:type="spellEnd"/>
      <w:r>
        <w:rPr>
          <w:sz w:val="24"/>
          <w:szCs w:val="24"/>
        </w:rPr>
        <w:t xml:space="preserve"> u sklopu projekta e-škola i od Ministarstva znanosti i obrazovanja za nabavu nastavnih sredstava i opreme za provedbu Cjelovite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 te nabava tableta uređaja za provedbu </w:t>
      </w:r>
      <w:r>
        <w:rPr>
          <w:sz w:val="24"/>
          <w:szCs w:val="24"/>
        </w:rPr>
        <w:lastRenderedPageBreak/>
        <w:t xml:space="preserve">obrazovne reforme. </w:t>
      </w:r>
      <w:r w:rsidR="00E754D8">
        <w:rPr>
          <w:sz w:val="24"/>
          <w:szCs w:val="24"/>
        </w:rPr>
        <w:t xml:space="preserve">Isto tako smo još od </w:t>
      </w:r>
      <w:proofErr w:type="spellStart"/>
      <w:r w:rsidR="00E754D8">
        <w:rPr>
          <w:sz w:val="24"/>
          <w:szCs w:val="24"/>
        </w:rPr>
        <w:t>Carnet</w:t>
      </w:r>
      <w:proofErr w:type="spellEnd"/>
      <w:r w:rsidR="00E754D8">
        <w:rPr>
          <w:sz w:val="24"/>
          <w:szCs w:val="24"/>
        </w:rPr>
        <w:t>-a dobili komunikacijske razdjelnike za matičnu i područne škole. Vrijednost izvan bilančnih zapisa za opremu je 813.029,13.</w:t>
      </w:r>
    </w:p>
    <w:p w:rsidR="0059444A" w:rsidRDefault="002517C2">
      <w:pPr>
        <w:rPr>
          <w:sz w:val="24"/>
          <w:szCs w:val="24"/>
        </w:rPr>
      </w:pPr>
      <w:r>
        <w:rPr>
          <w:sz w:val="24"/>
          <w:szCs w:val="24"/>
        </w:rPr>
        <w:t xml:space="preserve">Nismo dobili odluku o prijenosu i isknjižavanju imovine.  </w:t>
      </w:r>
    </w:p>
    <w:p w:rsidR="005A4BD4" w:rsidRDefault="00E754D8">
      <w:pPr>
        <w:rPr>
          <w:sz w:val="24"/>
          <w:szCs w:val="24"/>
        </w:rPr>
      </w:pPr>
      <w:r>
        <w:rPr>
          <w:sz w:val="24"/>
          <w:szCs w:val="24"/>
        </w:rPr>
        <w:t>Imamo i izvan bilančn</w:t>
      </w:r>
      <w:r w:rsidR="00C86647">
        <w:rPr>
          <w:sz w:val="24"/>
          <w:szCs w:val="24"/>
        </w:rPr>
        <w:t>e</w:t>
      </w:r>
      <w:r>
        <w:rPr>
          <w:sz w:val="24"/>
          <w:szCs w:val="24"/>
        </w:rPr>
        <w:t xml:space="preserve"> zapise za nekretnine-energetska obnova zgrade OŠ kralja Tomislava Našice u iznosu od 4.701.310,75.</w:t>
      </w:r>
    </w:p>
    <w:p w:rsidR="00E754D8" w:rsidRDefault="00E754D8">
      <w:pPr>
        <w:rPr>
          <w:sz w:val="24"/>
          <w:szCs w:val="24"/>
        </w:rPr>
      </w:pPr>
      <w:r>
        <w:rPr>
          <w:sz w:val="24"/>
          <w:szCs w:val="24"/>
        </w:rPr>
        <w:t>Osnovna škola kralja Tomislava Našice nema:</w:t>
      </w:r>
    </w:p>
    <w:p w:rsidR="00C86647" w:rsidRDefault="00E754D8" w:rsidP="00E754D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Popis ugovornih odnosa i slično koji uz </w:t>
      </w:r>
      <w:r w:rsidR="00C86647">
        <w:rPr>
          <w:sz w:val="24"/>
          <w:szCs w:val="24"/>
        </w:rPr>
        <w:t>ispunjenje određenih uvjeta, mogu postati obveza ili imovina (dana kreditna pisma, hipoteke i slično).</w:t>
      </w:r>
    </w:p>
    <w:p w:rsidR="00C86647" w:rsidRDefault="00C86647" w:rsidP="00E754D8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Popis sudskih sporova u tijeku.</w:t>
      </w:r>
    </w:p>
    <w:p w:rsidR="00E754D8" w:rsidRPr="00C86647" w:rsidRDefault="00C86647" w:rsidP="00C86647">
      <w:pPr>
        <w:rPr>
          <w:sz w:val="24"/>
          <w:szCs w:val="24"/>
        </w:rPr>
      </w:pPr>
      <w:r>
        <w:rPr>
          <w:sz w:val="24"/>
          <w:szCs w:val="24"/>
        </w:rPr>
        <w:t>Što se tiče sudskih sporova kod nas je to sve isplaćeno i u bilanci zatvoreno (9915</w:t>
      </w:r>
      <w:r w:rsidR="000026D8">
        <w:rPr>
          <w:sz w:val="24"/>
          <w:szCs w:val="24"/>
        </w:rPr>
        <w:t xml:space="preserve"> </w:t>
      </w:r>
      <w:r>
        <w:rPr>
          <w:sz w:val="24"/>
          <w:szCs w:val="24"/>
        </w:rPr>
        <w:t>i 9965-potencijalne obveze po osnovi sudskih sporova u tijeku).</w:t>
      </w:r>
      <w:r w:rsidRPr="00C86647">
        <w:rPr>
          <w:sz w:val="24"/>
          <w:szCs w:val="24"/>
        </w:rPr>
        <w:t xml:space="preserve"> </w:t>
      </w:r>
    </w:p>
    <w:p w:rsidR="00E754D8" w:rsidRDefault="00E754D8">
      <w:pPr>
        <w:rPr>
          <w:sz w:val="24"/>
          <w:szCs w:val="24"/>
        </w:rPr>
      </w:pPr>
      <w:r>
        <w:rPr>
          <w:sz w:val="24"/>
          <w:szCs w:val="24"/>
        </w:rPr>
        <w:t>Osnovna škola kralja Tomislava Našice nema ugovorne obveze po kategorijama:</w:t>
      </w:r>
    </w:p>
    <w:p w:rsidR="00E754D8" w:rsidRDefault="00E754D8" w:rsidP="00E754D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Pregled zaduživanja po vrsti instrumenta, valutnoj, kamatnoj i ročnoj strukturi i stanje kredita i zajmova na dan 01.01.2021. i na dan 31.12.2022. godine</w:t>
      </w:r>
    </w:p>
    <w:p w:rsidR="00E754D8" w:rsidRDefault="00E754D8" w:rsidP="00E754D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Iznos otplate obveza za kredite i zajmove prema dospijeću u narednim godinama</w:t>
      </w:r>
    </w:p>
    <w:p w:rsidR="00E754D8" w:rsidRPr="00E754D8" w:rsidRDefault="00E754D8" w:rsidP="00E754D8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Pregled danih zajmova i potraživanja za dane zajmove </w:t>
      </w:r>
      <w:r w:rsidRPr="00E754D8">
        <w:rPr>
          <w:sz w:val="24"/>
          <w:szCs w:val="24"/>
        </w:rPr>
        <w:t xml:space="preserve"> </w:t>
      </w:r>
    </w:p>
    <w:p w:rsidR="001175B3" w:rsidRPr="00BF1732" w:rsidRDefault="001175B3">
      <w:pPr>
        <w:rPr>
          <w:sz w:val="24"/>
          <w:szCs w:val="24"/>
        </w:rPr>
      </w:pP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Bilješke uz izvještaj o prihodima i rashodima, primicima i izdacima-Obrazac PR RAS</w:t>
      </w:r>
    </w:p>
    <w:p w:rsidR="00A90726" w:rsidRPr="00BF1732" w:rsidRDefault="00A90726">
      <w:pPr>
        <w:rPr>
          <w:sz w:val="24"/>
          <w:szCs w:val="24"/>
        </w:rPr>
      </w:pPr>
      <w:r w:rsidRPr="00BF1732">
        <w:rPr>
          <w:sz w:val="24"/>
          <w:szCs w:val="24"/>
        </w:rPr>
        <w:t>Prihodi poslovanja</w:t>
      </w:r>
    </w:p>
    <w:p w:rsidR="00B3595C" w:rsidRPr="00BF1732" w:rsidRDefault="00B3595C">
      <w:pPr>
        <w:rPr>
          <w:sz w:val="24"/>
          <w:szCs w:val="24"/>
        </w:rPr>
      </w:pPr>
      <w:r w:rsidRPr="00BF1732">
        <w:rPr>
          <w:sz w:val="24"/>
          <w:szCs w:val="24"/>
        </w:rPr>
        <w:t>6341-tekuće pomoći od izvanproračunskih korisnika, podatak se ne pojavljuje u tekućoj godini jer nemamo prihode od HZZ-e-mjere pripravništva.</w:t>
      </w:r>
    </w:p>
    <w:p w:rsidR="00B3595C" w:rsidRPr="00BF1732" w:rsidRDefault="00B3595C">
      <w:pPr>
        <w:rPr>
          <w:sz w:val="24"/>
          <w:szCs w:val="24"/>
        </w:rPr>
      </w:pPr>
      <w:r w:rsidRPr="00BF1732">
        <w:rPr>
          <w:sz w:val="24"/>
          <w:szCs w:val="24"/>
        </w:rPr>
        <w:t xml:space="preserve">6526-ostali nespomenuti prihodi-indeks 209,30 </w:t>
      </w:r>
      <w:r w:rsidR="00A90726" w:rsidRPr="00BF1732">
        <w:rPr>
          <w:sz w:val="24"/>
          <w:szCs w:val="24"/>
        </w:rPr>
        <w:t>iz razloga što je u ovoj školskoj godini bilo  kazališta, ekskurzije učenika i drugih izleta, koji prošle godine nisu bili iz epidemioloških razloga.</w:t>
      </w:r>
    </w:p>
    <w:p w:rsidR="00A90726" w:rsidRPr="00BF1732" w:rsidRDefault="00A90726">
      <w:pPr>
        <w:rPr>
          <w:sz w:val="24"/>
          <w:szCs w:val="24"/>
        </w:rPr>
      </w:pPr>
      <w:r w:rsidRPr="00BF1732">
        <w:rPr>
          <w:sz w:val="24"/>
          <w:szCs w:val="24"/>
        </w:rPr>
        <w:t xml:space="preserve">6632-kapitalne donacije-donacija uređaja za pranje podova od </w:t>
      </w:r>
      <w:proofErr w:type="spellStart"/>
      <w:r w:rsidRPr="00BF1732">
        <w:rPr>
          <w:sz w:val="24"/>
          <w:szCs w:val="24"/>
        </w:rPr>
        <w:t>Nexe</w:t>
      </w:r>
      <w:proofErr w:type="spellEnd"/>
      <w:r w:rsidRPr="00BF1732">
        <w:rPr>
          <w:sz w:val="24"/>
          <w:szCs w:val="24"/>
        </w:rPr>
        <w:t xml:space="preserve"> d.d. Našice u iznosu od 49.139,06, te donacija </w:t>
      </w:r>
      <w:proofErr w:type="spellStart"/>
      <w:r w:rsidR="00C70623">
        <w:rPr>
          <w:sz w:val="24"/>
          <w:szCs w:val="24"/>
        </w:rPr>
        <w:t>s</w:t>
      </w:r>
      <w:r w:rsidRPr="00BF1732">
        <w:rPr>
          <w:sz w:val="24"/>
          <w:szCs w:val="24"/>
        </w:rPr>
        <w:t>tem</w:t>
      </w:r>
      <w:proofErr w:type="spellEnd"/>
      <w:r w:rsidRPr="00BF1732">
        <w:rPr>
          <w:sz w:val="24"/>
          <w:szCs w:val="24"/>
        </w:rPr>
        <w:t xml:space="preserve"> opreme i projekt umjetne inteligencije –Institut za razvoj i inovativnost mladih Zagreb (IRIM) </w:t>
      </w:r>
      <w:r w:rsidR="00C70623">
        <w:rPr>
          <w:sz w:val="24"/>
          <w:szCs w:val="24"/>
        </w:rPr>
        <w:t>u vrijednosti</w:t>
      </w:r>
      <w:r w:rsidRPr="00BF1732">
        <w:rPr>
          <w:sz w:val="24"/>
          <w:szCs w:val="24"/>
        </w:rPr>
        <w:t xml:space="preserve"> 5.633,75 a ostalo je donacija knjiga za knjižnicu.</w:t>
      </w:r>
    </w:p>
    <w:p w:rsidR="00A90726" w:rsidRPr="00BF1732" w:rsidRDefault="00A90726">
      <w:pPr>
        <w:rPr>
          <w:sz w:val="24"/>
          <w:szCs w:val="24"/>
        </w:rPr>
      </w:pPr>
      <w:r w:rsidRPr="00BF1732">
        <w:rPr>
          <w:sz w:val="24"/>
          <w:szCs w:val="24"/>
        </w:rPr>
        <w:t>6712-prihodi iz nadležnog proračuna za financiranje rashoda za nabavu nefinancijske imovine-prošle godine je nabavljena samo lektira za školsku knjižnicu, a ove godine smo o</w:t>
      </w:r>
      <w:r w:rsidR="00C70623">
        <w:rPr>
          <w:sz w:val="24"/>
          <w:szCs w:val="24"/>
        </w:rPr>
        <w:t>d</w:t>
      </w:r>
      <w:r w:rsidRPr="00BF1732">
        <w:rPr>
          <w:sz w:val="24"/>
          <w:szCs w:val="24"/>
        </w:rPr>
        <w:t xml:space="preserve"> Osječko-baranjske županije dobili i dvije klime za područnu školu u Markovcu Našičkom.</w:t>
      </w:r>
    </w:p>
    <w:p w:rsidR="00A90726" w:rsidRPr="00BF1732" w:rsidRDefault="00A90726">
      <w:pPr>
        <w:rPr>
          <w:sz w:val="24"/>
          <w:szCs w:val="24"/>
        </w:rPr>
      </w:pPr>
      <w:r w:rsidRPr="00BF1732">
        <w:rPr>
          <w:sz w:val="24"/>
          <w:szCs w:val="24"/>
        </w:rPr>
        <w:t>Rashodi poslovanja</w:t>
      </w:r>
    </w:p>
    <w:p w:rsidR="00A90726" w:rsidRPr="00BF1732" w:rsidRDefault="00A90726">
      <w:pPr>
        <w:rPr>
          <w:sz w:val="24"/>
          <w:szCs w:val="24"/>
        </w:rPr>
      </w:pPr>
      <w:r w:rsidRPr="00BF1732">
        <w:rPr>
          <w:sz w:val="24"/>
          <w:szCs w:val="24"/>
        </w:rPr>
        <w:t xml:space="preserve">312-ostali rashodi za zaposlene, indeks je 139,80 jer je na tom računu evidentirana božićnica koja se smatra nagradom </w:t>
      </w:r>
      <w:r w:rsidR="00B60F32" w:rsidRPr="00BF1732">
        <w:rPr>
          <w:sz w:val="24"/>
          <w:szCs w:val="24"/>
        </w:rPr>
        <w:t>za božićne blagdane.</w:t>
      </w:r>
    </w:p>
    <w:p w:rsidR="00B60F32" w:rsidRPr="00BF1732" w:rsidRDefault="00B60F32">
      <w:pPr>
        <w:rPr>
          <w:sz w:val="24"/>
          <w:szCs w:val="24"/>
        </w:rPr>
      </w:pPr>
      <w:r w:rsidRPr="00BF1732">
        <w:rPr>
          <w:sz w:val="24"/>
          <w:szCs w:val="24"/>
        </w:rPr>
        <w:lastRenderedPageBreak/>
        <w:t xml:space="preserve">3433-zatezne kamate-indeks je 729,50, odnosi se na sudske tužbe za 6%  osnovice plaće za 2016. i 2017. godinu. </w:t>
      </w:r>
    </w:p>
    <w:p w:rsidR="000A48CD" w:rsidRPr="00BF1732" w:rsidRDefault="000A48CD">
      <w:pPr>
        <w:rPr>
          <w:sz w:val="24"/>
          <w:szCs w:val="24"/>
        </w:rPr>
      </w:pPr>
      <w:r w:rsidRPr="00BF1732">
        <w:rPr>
          <w:sz w:val="24"/>
          <w:szCs w:val="24"/>
        </w:rPr>
        <w:t>Bilančni podaci u PR-RAS-u</w:t>
      </w:r>
    </w:p>
    <w:p w:rsidR="000A48CD" w:rsidRDefault="000A48CD">
      <w:pPr>
        <w:rPr>
          <w:sz w:val="24"/>
          <w:szCs w:val="24"/>
        </w:rPr>
      </w:pPr>
      <w:r w:rsidRPr="00BF1732">
        <w:rPr>
          <w:sz w:val="24"/>
          <w:szCs w:val="24"/>
        </w:rPr>
        <w:t xml:space="preserve">92211-višak prihoda poslovanja-postoji razlika između rezultata koji je utvrđen 31.prosinca 2021. godine i iskazan u stupcu „Ostvareno u izvještajnom razdoblju prethodne godine“ i onog koji je iskazan u stupcu „Ostvareno u izvještajnom razdoblju tekuće godine“ kao rezultat koji je prenesen iz prethodnih godina. Razlog je povrat neutrošenih sredstava HZZ-e, za pripravnicu u iznosu od 4.544,41. </w:t>
      </w:r>
    </w:p>
    <w:p w:rsidR="00A148E8" w:rsidRDefault="00A148E8">
      <w:pPr>
        <w:rPr>
          <w:sz w:val="24"/>
          <w:szCs w:val="24"/>
        </w:rPr>
      </w:pPr>
      <w:r>
        <w:rPr>
          <w:sz w:val="24"/>
          <w:szCs w:val="24"/>
        </w:rPr>
        <w:t>Podaci o rezultatu tekuće godine po svakoj od aktivnosti i podaci o prenesenim rezultatima po svakoj aktivnosti u obrascu PR RAS daju podatak o ukupnim rezultatima prije procesa obveznih korekcija propisanih člankom 82. Pravilnika o računovodstvu i računskom planu. To znači da će rezultat po svakoj aktivnosti iskazan u Bilanci nakon provedenih korekcija biti različit od rezultata iskazanog u PR RAS-u.</w:t>
      </w:r>
    </w:p>
    <w:p w:rsidR="00A148E8" w:rsidRPr="00BF1732" w:rsidRDefault="00A148E8">
      <w:pPr>
        <w:rPr>
          <w:sz w:val="24"/>
          <w:szCs w:val="24"/>
        </w:rPr>
      </w:pPr>
      <w:r>
        <w:rPr>
          <w:sz w:val="24"/>
          <w:szCs w:val="24"/>
        </w:rPr>
        <w:t xml:space="preserve">Na pozicijama 11P i 11K-stanje novčanih sredstava na početku i na kraju izvještajnog razdoblja   nemamo iskazan podatak jer poslujemo preko lokalne riznice, nemamo svoj žiro-račun.  </w:t>
      </w:r>
    </w:p>
    <w:p w:rsidR="000A48CD" w:rsidRPr="00BF1732" w:rsidRDefault="000A48CD">
      <w:pPr>
        <w:rPr>
          <w:sz w:val="24"/>
          <w:szCs w:val="24"/>
        </w:rPr>
      </w:pPr>
      <w:r w:rsidRPr="00BF1732">
        <w:rPr>
          <w:sz w:val="24"/>
          <w:szCs w:val="24"/>
        </w:rPr>
        <w:t>19-Rashodi budućih razdoblja i nedospjela naplata prihod (aktivna vremenska razgraničenja)</w:t>
      </w:r>
    </w:p>
    <w:p w:rsidR="000A48CD" w:rsidRPr="00BF1732" w:rsidRDefault="000A48CD">
      <w:pPr>
        <w:rPr>
          <w:sz w:val="24"/>
          <w:szCs w:val="24"/>
        </w:rPr>
      </w:pPr>
      <w:r w:rsidRPr="00BF1732">
        <w:rPr>
          <w:sz w:val="24"/>
          <w:szCs w:val="24"/>
        </w:rPr>
        <w:t>96-Obračunati prihodi nenaplaćeni.</w:t>
      </w:r>
    </w:p>
    <w:p w:rsidR="000A48CD" w:rsidRPr="00BF1732" w:rsidRDefault="000A48CD">
      <w:pPr>
        <w:rPr>
          <w:sz w:val="24"/>
          <w:szCs w:val="24"/>
        </w:rPr>
      </w:pP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Bilješke uz izvještaj o promjenama u vrijednosti imovine i obvez</w:t>
      </w:r>
      <w:r w:rsidR="00455E13" w:rsidRPr="00BF1732">
        <w:rPr>
          <w:b/>
          <w:sz w:val="24"/>
          <w:szCs w:val="24"/>
        </w:rPr>
        <w:t>a</w:t>
      </w:r>
      <w:r w:rsidRPr="00BF1732">
        <w:rPr>
          <w:b/>
          <w:sz w:val="24"/>
          <w:szCs w:val="24"/>
        </w:rPr>
        <w:t>-obrazac P-VRIO</w:t>
      </w:r>
    </w:p>
    <w:p w:rsidR="00A44237" w:rsidRPr="00BF1732" w:rsidRDefault="00455E13">
      <w:pPr>
        <w:rPr>
          <w:sz w:val="24"/>
          <w:szCs w:val="24"/>
        </w:rPr>
      </w:pPr>
      <w:r w:rsidRPr="00BF1732">
        <w:rPr>
          <w:sz w:val="24"/>
          <w:szCs w:val="24"/>
        </w:rPr>
        <w:t>U obrascu P-vrio unijet</w:t>
      </w:r>
      <w:r w:rsidR="00A44237" w:rsidRPr="00BF1732">
        <w:rPr>
          <w:sz w:val="24"/>
          <w:szCs w:val="24"/>
        </w:rPr>
        <w:t>e</w:t>
      </w:r>
      <w:r w:rsidRPr="00BF1732">
        <w:rPr>
          <w:sz w:val="24"/>
          <w:szCs w:val="24"/>
        </w:rPr>
        <w:t xml:space="preserve"> su promjene koje se odnose na povećanje imovine. Škola je primila rješenje od Osječko-baranjske županije o prijenosu</w:t>
      </w:r>
      <w:r w:rsidR="00A44237" w:rsidRPr="00BF1732">
        <w:rPr>
          <w:sz w:val="24"/>
          <w:szCs w:val="24"/>
        </w:rPr>
        <w:t>:</w:t>
      </w:r>
    </w:p>
    <w:p w:rsidR="001175B3" w:rsidRPr="00BF1732" w:rsidRDefault="00A44237">
      <w:pPr>
        <w:rPr>
          <w:sz w:val="24"/>
          <w:szCs w:val="24"/>
        </w:rPr>
      </w:pPr>
      <w:r w:rsidRPr="00BF1732">
        <w:rPr>
          <w:sz w:val="24"/>
          <w:szCs w:val="24"/>
        </w:rPr>
        <w:t>-</w:t>
      </w:r>
      <w:r w:rsidR="00455E13" w:rsidRPr="00BF1732">
        <w:rPr>
          <w:sz w:val="24"/>
          <w:szCs w:val="24"/>
        </w:rPr>
        <w:t xml:space="preserve"> knjigovodstvene vrijednosti projektno-tehničke dokume</w:t>
      </w:r>
      <w:r w:rsidRPr="00BF1732">
        <w:rPr>
          <w:sz w:val="24"/>
          <w:szCs w:val="24"/>
        </w:rPr>
        <w:t>n</w:t>
      </w:r>
      <w:r w:rsidR="00455E13" w:rsidRPr="00BF1732">
        <w:rPr>
          <w:sz w:val="24"/>
          <w:szCs w:val="24"/>
        </w:rPr>
        <w:t>tacije</w:t>
      </w:r>
      <w:r w:rsidRPr="00BF1732">
        <w:rPr>
          <w:sz w:val="24"/>
          <w:szCs w:val="24"/>
        </w:rPr>
        <w:t xml:space="preserve"> </w:t>
      </w:r>
      <w:r w:rsidR="00455E13" w:rsidRPr="00BF1732">
        <w:rPr>
          <w:sz w:val="24"/>
          <w:szCs w:val="24"/>
        </w:rPr>
        <w:t xml:space="preserve">za izradu elektroničkog projekta sunčane elektrane u </w:t>
      </w:r>
      <w:r w:rsidRPr="00BF1732">
        <w:rPr>
          <w:sz w:val="24"/>
          <w:szCs w:val="24"/>
        </w:rPr>
        <w:t>iznosu od 15.000</w:t>
      </w:r>
      <w:r w:rsidR="00455E13" w:rsidRPr="00BF1732">
        <w:rPr>
          <w:sz w:val="24"/>
          <w:szCs w:val="24"/>
        </w:rPr>
        <w:t>,00</w:t>
      </w:r>
    </w:p>
    <w:p w:rsidR="00A44237" w:rsidRPr="00BF1732" w:rsidRDefault="00A44237">
      <w:pPr>
        <w:rPr>
          <w:sz w:val="24"/>
          <w:szCs w:val="24"/>
        </w:rPr>
      </w:pPr>
      <w:r w:rsidRPr="00BF1732">
        <w:rPr>
          <w:sz w:val="24"/>
          <w:szCs w:val="24"/>
        </w:rPr>
        <w:t>-knjigovodstvene vrijednosti za izradu elektroenergetske suglasnosti po projektu sunčane elektrane u iznosu od 18.180,00.</w:t>
      </w:r>
    </w:p>
    <w:p w:rsidR="006C498F" w:rsidRPr="00BF1732" w:rsidRDefault="006C498F">
      <w:pPr>
        <w:rPr>
          <w:sz w:val="24"/>
          <w:szCs w:val="24"/>
        </w:rPr>
      </w:pP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t>Bilješke uz izvještaj o rashodima prema funkcijskoj klasifikaciji-Obrazac RAS-FUNKCIJSKI</w:t>
      </w:r>
    </w:p>
    <w:p w:rsidR="002C4A06" w:rsidRPr="00BF1732" w:rsidRDefault="00DD5AF7">
      <w:pPr>
        <w:rPr>
          <w:sz w:val="24"/>
          <w:szCs w:val="24"/>
        </w:rPr>
      </w:pPr>
      <w:r w:rsidRPr="00BF1732">
        <w:rPr>
          <w:sz w:val="24"/>
          <w:szCs w:val="24"/>
        </w:rPr>
        <w:t xml:space="preserve">Temeljem čl. 7 Pravilnika o financijskom izvještavanju u proračunskom računovodstvu škola je obveznik predaje ovoga obrasca. Financijska klasifikacija sadrži aktivnosti odnosno projekte korisnika proračuna razvrstane prema njihovoj namjeni. U funkciji 0912-nalazi se osnovno obrazovanje, te su iskazani rashodi poslovanja razreda 3 i 4 </w:t>
      </w:r>
      <w:r w:rsidR="002C4A06" w:rsidRPr="00BF1732">
        <w:rPr>
          <w:sz w:val="24"/>
          <w:szCs w:val="24"/>
        </w:rPr>
        <w:t>u ukupnom iznosu od 16.6</w:t>
      </w:r>
      <w:r w:rsidR="00664416">
        <w:rPr>
          <w:sz w:val="24"/>
          <w:szCs w:val="24"/>
        </w:rPr>
        <w:t>56</w:t>
      </w:r>
      <w:r w:rsidR="007815B3">
        <w:rPr>
          <w:sz w:val="24"/>
          <w:szCs w:val="24"/>
        </w:rPr>
        <w:t>,</w:t>
      </w:r>
      <w:r w:rsidR="00664416">
        <w:rPr>
          <w:sz w:val="24"/>
          <w:szCs w:val="24"/>
        </w:rPr>
        <w:t>156</w:t>
      </w:r>
      <w:r w:rsidR="002C4A06" w:rsidRPr="00BF1732">
        <w:rPr>
          <w:sz w:val="24"/>
          <w:szCs w:val="24"/>
        </w:rPr>
        <w:t>,</w:t>
      </w:r>
      <w:r w:rsidR="007815B3">
        <w:rPr>
          <w:sz w:val="24"/>
          <w:szCs w:val="24"/>
        </w:rPr>
        <w:t>9</w:t>
      </w:r>
      <w:r w:rsidR="00664416">
        <w:rPr>
          <w:sz w:val="24"/>
          <w:szCs w:val="24"/>
        </w:rPr>
        <w:t>5</w:t>
      </w:r>
      <w:r w:rsidR="002C4A06" w:rsidRPr="00BF1732">
        <w:rPr>
          <w:sz w:val="24"/>
          <w:szCs w:val="24"/>
        </w:rPr>
        <w:t>, (PR RAS obrazac Y345).</w:t>
      </w:r>
    </w:p>
    <w:p w:rsidR="00DD5AF7" w:rsidRPr="00BF1732" w:rsidRDefault="002C4A06">
      <w:pPr>
        <w:rPr>
          <w:sz w:val="24"/>
          <w:szCs w:val="24"/>
        </w:rPr>
      </w:pPr>
      <w:r w:rsidRPr="00BF1732">
        <w:rPr>
          <w:sz w:val="24"/>
          <w:szCs w:val="24"/>
        </w:rPr>
        <w:t>096-dod</w:t>
      </w:r>
      <w:r w:rsidR="000026D8">
        <w:rPr>
          <w:sz w:val="24"/>
          <w:szCs w:val="24"/>
        </w:rPr>
        <w:t>a</w:t>
      </w:r>
      <w:r w:rsidRPr="00BF1732">
        <w:rPr>
          <w:sz w:val="24"/>
          <w:szCs w:val="24"/>
        </w:rPr>
        <w:t xml:space="preserve">tne usluge u obrazovanju, podatak se odnosi na troškove prehrane djece u iznosu od </w:t>
      </w:r>
      <w:r w:rsidR="002E4A42" w:rsidRPr="00BF1732">
        <w:rPr>
          <w:sz w:val="24"/>
          <w:szCs w:val="24"/>
        </w:rPr>
        <w:t>486.367,25.</w:t>
      </w:r>
      <w:r w:rsidRPr="00BF1732">
        <w:rPr>
          <w:sz w:val="24"/>
          <w:szCs w:val="24"/>
        </w:rPr>
        <w:t xml:space="preserve"> </w:t>
      </w:r>
    </w:p>
    <w:p w:rsidR="006C498F" w:rsidRPr="00BF1732" w:rsidRDefault="006C498F">
      <w:pPr>
        <w:rPr>
          <w:sz w:val="24"/>
          <w:szCs w:val="24"/>
        </w:rPr>
      </w:pPr>
    </w:p>
    <w:p w:rsidR="001175B3" w:rsidRPr="00BF1732" w:rsidRDefault="001175B3">
      <w:pPr>
        <w:rPr>
          <w:b/>
          <w:sz w:val="24"/>
          <w:szCs w:val="24"/>
        </w:rPr>
      </w:pPr>
      <w:r w:rsidRPr="00BF1732">
        <w:rPr>
          <w:b/>
          <w:sz w:val="24"/>
          <w:szCs w:val="24"/>
        </w:rPr>
        <w:lastRenderedPageBreak/>
        <w:t>Bilješke uz izvještaj o obvezama-OBRAZAC OBVEZE</w:t>
      </w:r>
    </w:p>
    <w:p w:rsidR="007771D7" w:rsidRPr="00BF1732" w:rsidRDefault="007771D7">
      <w:pPr>
        <w:rPr>
          <w:sz w:val="24"/>
          <w:szCs w:val="24"/>
        </w:rPr>
      </w:pPr>
      <w:r w:rsidRPr="00BF1732">
        <w:rPr>
          <w:sz w:val="24"/>
          <w:szCs w:val="24"/>
        </w:rPr>
        <w:t>Ovim se izvještajem prati stanje međusobnih obveza proračunskih korisnika kao i obveza za rashode poslovanja i to na početku i na kraju obračunskog razdoblja.</w:t>
      </w:r>
    </w:p>
    <w:p w:rsidR="007771D7" w:rsidRPr="00BF1732" w:rsidRDefault="007771D7">
      <w:pPr>
        <w:rPr>
          <w:sz w:val="24"/>
          <w:szCs w:val="24"/>
        </w:rPr>
      </w:pPr>
      <w:r w:rsidRPr="00BF1732">
        <w:rPr>
          <w:sz w:val="24"/>
          <w:szCs w:val="24"/>
        </w:rPr>
        <w:t>V001 Stanje obveza 1,siječnja 2022. godine , odnosno  31.prosinca 2021. godine iznosi 1.258.031,26.</w:t>
      </w:r>
    </w:p>
    <w:p w:rsidR="007771D7" w:rsidRPr="00BF1732" w:rsidRDefault="007771D7">
      <w:pPr>
        <w:rPr>
          <w:sz w:val="24"/>
          <w:szCs w:val="24"/>
        </w:rPr>
      </w:pPr>
      <w:r w:rsidRPr="00BF1732">
        <w:rPr>
          <w:sz w:val="24"/>
          <w:szCs w:val="24"/>
        </w:rPr>
        <w:t>Tijekom godine obveze su se povećale za 16.</w:t>
      </w:r>
      <w:r w:rsidR="00B93BAC" w:rsidRPr="00BF1732">
        <w:rPr>
          <w:sz w:val="24"/>
          <w:szCs w:val="24"/>
        </w:rPr>
        <w:t>8</w:t>
      </w:r>
      <w:r w:rsidR="00664416">
        <w:rPr>
          <w:sz w:val="24"/>
          <w:szCs w:val="24"/>
        </w:rPr>
        <w:t>49.800</w:t>
      </w:r>
      <w:r w:rsidRPr="00BF1732">
        <w:rPr>
          <w:sz w:val="24"/>
          <w:szCs w:val="24"/>
        </w:rPr>
        <w:t>,</w:t>
      </w:r>
      <w:r w:rsidR="00F76700">
        <w:rPr>
          <w:sz w:val="24"/>
          <w:szCs w:val="24"/>
        </w:rPr>
        <w:t>1</w:t>
      </w:r>
      <w:r w:rsidR="00664416">
        <w:rPr>
          <w:sz w:val="24"/>
          <w:szCs w:val="24"/>
        </w:rPr>
        <w:t>3</w:t>
      </w:r>
      <w:r w:rsidRPr="00BF1732">
        <w:rPr>
          <w:sz w:val="24"/>
          <w:szCs w:val="24"/>
        </w:rPr>
        <w:t>, od čega se 13.6</w:t>
      </w:r>
      <w:r w:rsidR="00F76700">
        <w:rPr>
          <w:sz w:val="24"/>
          <w:szCs w:val="24"/>
        </w:rPr>
        <w:t>31</w:t>
      </w:r>
      <w:r w:rsidRPr="00BF1732">
        <w:rPr>
          <w:sz w:val="24"/>
          <w:szCs w:val="24"/>
        </w:rPr>
        <w:t>.</w:t>
      </w:r>
      <w:r w:rsidR="00F76700">
        <w:rPr>
          <w:sz w:val="24"/>
          <w:szCs w:val="24"/>
        </w:rPr>
        <w:t>158</w:t>
      </w:r>
      <w:r w:rsidRPr="00BF1732">
        <w:rPr>
          <w:sz w:val="24"/>
          <w:szCs w:val="24"/>
        </w:rPr>
        <w:t>,</w:t>
      </w:r>
      <w:r w:rsidR="00F76700">
        <w:rPr>
          <w:sz w:val="24"/>
          <w:szCs w:val="24"/>
        </w:rPr>
        <w:t>47</w:t>
      </w:r>
      <w:r w:rsidRPr="00BF1732">
        <w:rPr>
          <w:sz w:val="24"/>
          <w:szCs w:val="24"/>
        </w:rPr>
        <w:t xml:space="preserve"> odnos</w:t>
      </w:r>
      <w:r w:rsidR="00664416">
        <w:rPr>
          <w:sz w:val="24"/>
          <w:szCs w:val="24"/>
        </w:rPr>
        <w:t>i</w:t>
      </w:r>
      <w:r w:rsidRPr="00BF1732">
        <w:rPr>
          <w:sz w:val="24"/>
          <w:szCs w:val="24"/>
        </w:rPr>
        <w:t xml:space="preserve"> na obveze za zaposlene (</w:t>
      </w:r>
      <w:r w:rsidR="005F7E95" w:rsidRPr="00BF1732">
        <w:rPr>
          <w:sz w:val="24"/>
          <w:szCs w:val="24"/>
        </w:rPr>
        <w:t>N231</w:t>
      </w:r>
      <w:r w:rsidRPr="00BF1732">
        <w:rPr>
          <w:sz w:val="24"/>
          <w:szCs w:val="24"/>
        </w:rPr>
        <w:t>), 2.6</w:t>
      </w:r>
      <w:r w:rsidR="00664416">
        <w:rPr>
          <w:sz w:val="24"/>
          <w:szCs w:val="24"/>
        </w:rPr>
        <w:t>83</w:t>
      </w:r>
      <w:r w:rsidRPr="00BF1732">
        <w:rPr>
          <w:sz w:val="24"/>
          <w:szCs w:val="24"/>
        </w:rPr>
        <w:t>.</w:t>
      </w:r>
      <w:r w:rsidR="00664416">
        <w:rPr>
          <w:sz w:val="24"/>
          <w:szCs w:val="24"/>
        </w:rPr>
        <w:t>614</w:t>
      </w:r>
      <w:r w:rsidRPr="00BF1732">
        <w:rPr>
          <w:sz w:val="24"/>
          <w:szCs w:val="24"/>
        </w:rPr>
        <w:t>,6</w:t>
      </w:r>
      <w:r w:rsidR="00664416">
        <w:rPr>
          <w:sz w:val="24"/>
          <w:szCs w:val="24"/>
        </w:rPr>
        <w:t>9</w:t>
      </w:r>
      <w:r w:rsidRPr="00BF1732">
        <w:rPr>
          <w:sz w:val="24"/>
          <w:szCs w:val="24"/>
        </w:rPr>
        <w:t xml:space="preserve"> obveze za materijalne rashode (</w:t>
      </w:r>
      <w:r w:rsidR="005F7E95" w:rsidRPr="00BF1732">
        <w:rPr>
          <w:sz w:val="24"/>
          <w:szCs w:val="24"/>
        </w:rPr>
        <w:t>N</w:t>
      </w:r>
      <w:r w:rsidRPr="00BF1732">
        <w:rPr>
          <w:sz w:val="24"/>
          <w:szCs w:val="24"/>
        </w:rPr>
        <w:t xml:space="preserve"> 232), 125.474,60 obveze za fina</w:t>
      </w:r>
      <w:r w:rsidR="00B93BAC" w:rsidRPr="00BF1732">
        <w:rPr>
          <w:sz w:val="24"/>
          <w:szCs w:val="24"/>
        </w:rPr>
        <w:t>n</w:t>
      </w:r>
      <w:r w:rsidRPr="00BF1732">
        <w:rPr>
          <w:sz w:val="24"/>
          <w:szCs w:val="24"/>
        </w:rPr>
        <w:t>cijske rashode</w:t>
      </w:r>
      <w:r w:rsidR="00B93BAC" w:rsidRPr="00BF1732">
        <w:rPr>
          <w:sz w:val="24"/>
          <w:szCs w:val="24"/>
        </w:rPr>
        <w:t xml:space="preserve"> (</w:t>
      </w:r>
      <w:r w:rsidR="005F7E95" w:rsidRPr="00BF1732">
        <w:rPr>
          <w:sz w:val="24"/>
          <w:szCs w:val="24"/>
        </w:rPr>
        <w:t>N</w:t>
      </w:r>
      <w:r w:rsidR="00B93BAC" w:rsidRPr="00BF1732">
        <w:rPr>
          <w:sz w:val="24"/>
          <w:szCs w:val="24"/>
        </w:rPr>
        <w:t xml:space="preserve"> 234), ostale tekuće obveze (</w:t>
      </w:r>
      <w:r w:rsidR="005F7E95" w:rsidRPr="00BF1732">
        <w:rPr>
          <w:sz w:val="24"/>
          <w:szCs w:val="24"/>
        </w:rPr>
        <w:t>N</w:t>
      </w:r>
      <w:r w:rsidR="00B93BAC" w:rsidRPr="00BF1732">
        <w:rPr>
          <w:sz w:val="24"/>
          <w:szCs w:val="24"/>
        </w:rPr>
        <w:t xml:space="preserve"> 239) u iznosu od 112.469,65 i obveze za nabavu proizvedene dugotrajne imovine (</w:t>
      </w:r>
      <w:r w:rsidR="005F7E95" w:rsidRPr="00BF1732">
        <w:rPr>
          <w:sz w:val="24"/>
          <w:szCs w:val="24"/>
        </w:rPr>
        <w:t>N</w:t>
      </w:r>
      <w:r w:rsidR="00B93BAC" w:rsidRPr="00BF1732">
        <w:rPr>
          <w:sz w:val="24"/>
          <w:szCs w:val="24"/>
        </w:rPr>
        <w:t xml:space="preserve"> 24) u iznosu od 297.082,53.</w:t>
      </w:r>
    </w:p>
    <w:p w:rsidR="00B93BAC" w:rsidRPr="00BF1732" w:rsidRDefault="00B93BAC">
      <w:pPr>
        <w:rPr>
          <w:sz w:val="24"/>
          <w:szCs w:val="24"/>
        </w:rPr>
      </w:pPr>
      <w:r w:rsidRPr="00BF1732">
        <w:rPr>
          <w:sz w:val="24"/>
          <w:szCs w:val="24"/>
        </w:rPr>
        <w:t>U izvještajnom razdoblju su se obveze uredno podmirivale</w:t>
      </w:r>
      <w:r w:rsidR="005F7E95" w:rsidRPr="00BF1732">
        <w:rPr>
          <w:sz w:val="24"/>
          <w:szCs w:val="24"/>
        </w:rPr>
        <w:t>. Tako je tijekom godine ukupno podmireno 16.6</w:t>
      </w:r>
      <w:r w:rsidR="00F76700">
        <w:rPr>
          <w:sz w:val="24"/>
          <w:szCs w:val="24"/>
        </w:rPr>
        <w:t>6</w:t>
      </w:r>
      <w:r w:rsidR="009D7C37">
        <w:rPr>
          <w:sz w:val="24"/>
          <w:szCs w:val="24"/>
        </w:rPr>
        <w:t>8</w:t>
      </w:r>
      <w:r w:rsidR="005F7E95" w:rsidRPr="00BF1732">
        <w:rPr>
          <w:sz w:val="24"/>
          <w:szCs w:val="24"/>
        </w:rPr>
        <w:t>.</w:t>
      </w:r>
      <w:r w:rsidR="009D7C37">
        <w:rPr>
          <w:sz w:val="24"/>
          <w:szCs w:val="24"/>
        </w:rPr>
        <w:t>538</w:t>
      </w:r>
      <w:r w:rsidR="005F7E95" w:rsidRPr="00BF1732">
        <w:rPr>
          <w:sz w:val="24"/>
          <w:szCs w:val="24"/>
        </w:rPr>
        <w:t>,</w:t>
      </w:r>
      <w:r w:rsidR="009D7C37">
        <w:rPr>
          <w:sz w:val="24"/>
          <w:szCs w:val="24"/>
        </w:rPr>
        <w:t>02</w:t>
      </w:r>
      <w:r w:rsidR="005F7E95" w:rsidRPr="00BF1732">
        <w:rPr>
          <w:sz w:val="24"/>
          <w:szCs w:val="24"/>
        </w:rPr>
        <w:t xml:space="preserve"> i to 13</w:t>
      </w:r>
      <w:r w:rsidR="009D6056">
        <w:rPr>
          <w:sz w:val="24"/>
          <w:szCs w:val="24"/>
        </w:rPr>
        <w:t>.</w:t>
      </w:r>
      <w:r w:rsidR="005F7E95" w:rsidRPr="00BF1732">
        <w:rPr>
          <w:sz w:val="24"/>
          <w:szCs w:val="24"/>
        </w:rPr>
        <w:t>,5</w:t>
      </w:r>
      <w:r w:rsidR="00F76700">
        <w:rPr>
          <w:sz w:val="24"/>
          <w:szCs w:val="24"/>
        </w:rPr>
        <w:t>37</w:t>
      </w:r>
      <w:r w:rsidR="005F7E95" w:rsidRPr="00BF1732">
        <w:rPr>
          <w:sz w:val="24"/>
          <w:szCs w:val="24"/>
        </w:rPr>
        <w:t>.</w:t>
      </w:r>
      <w:r w:rsidR="00F76700">
        <w:rPr>
          <w:sz w:val="24"/>
          <w:szCs w:val="24"/>
        </w:rPr>
        <w:t>126</w:t>
      </w:r>
      <w:r w:rsidR="005F7E95" w:rsidRPr="00BF1732">
        <w:rPr>
          <w:sz w:val="24"/>
          <w:szCs w:val="24"/>
        </w:rPr>
        <w:t>,</w:t>
      </w:r>
      <w:r w:rsidR="00F76700">
        <w:rPr>
          <w:sz w:val="24"/>
          <w:szCs w:val="24"/>
        </w:rPr>
        <w:t>96</w:t>
      </w:r>
      <w:r w:rsidR="005F7E95" w:rsidRPr="00BF1732">
        <w:rPr>
          <w:sz w:val="24"/>
          <w:szCs w:val="24"/>
        </w:rPr>
        <w:t xml:space="preserve"> (P 231), 2.589.258,89 (P 232), 125474,60 (P 234), 1</w:t>
      </w:r>
      <w:r w:rsidR="009D6056">
        <w:rPr>
          <w:sz w:val="24"/>
          <w:szCs w:val="24"/>
        </w:rPr>
        <w:t>19</w:t>
      </w:r>
      <w:r w:rsidR="005F7E95" w:rsidRPr="00BF1732">
        <w:rPr>
          <w:sz w:val="24"/>
          <w:szCs w:val="24"/>
        </w:rPr>
        <w:t>.</w:t>
      </w:r>
      <w:r w:rsidR="009D6056">
        <w:rPr>
          <w:sz w:val="24"/>
          <w:szCs w:val="24"/>
        </w:rPr>
        <w:t>595</w:t>
      </w:r>
      <w:r w:rsidR="005F7E95" w:rsidRPr="00BF1732">
        <w:rPr>
          <w:sz w:val="24"/>
          <w:szCs w:val="24"/>
        </w:rPr>
        <w:t>,</w:t>
      </w:r>
      <w:r w:rsidR="009D6056">
        <w:rPr>
          <w:sz w:val="24"/>
          <w:szCs w:val="24"/>
        </w:rPr>
        <w:t>0</w:t>
      </w:r>
      <w:r w:rsidR="005F7E95" w:rsidRPr="00BF1732">
        <w:rPr>
          <w:sz w:val="24"/>
          <w:szCs w:val="24"/>
        </w:rPr>
        <w:t>5 (P  239) I 297.082,53 (P 24).</w:t>
      </w:r>
    </w:p>
    <w:p w:rsidR="005F7E95" w:rsidRPr="00BF1732" w:rsidRDefault="005F7E95">
      <w:pPr>
        <w:rPr>
          <w:sz w:val="24"/>
          <w:szCs w:val="24"/>
        </w:rPr>
      </w:pPr>
      <w:r w:rsidRPr="00BF1732">
        <w:rPr>
          <w:sz w:val="24"/>
          <w:szCs w:val="24"/>
        </w:rPr>
        <w:t>V006-stanje obveza na kraju izvještajnog razdoblja iznosi 1.4</w:t>
      </w:r>
      <w:r w:rsidR="00664416">
        <w:rPr>
          <w:sz w:val="24"/>
          <w:szCs w:val="24"/>
        </w:rPr>
        <w:t>39</w:t>
      </w:r>
      <w:r w:rsidRPr="00BF1732">
        <w:rPr>
          <w:sz w:val="24"/>
          <w:szCs w:val="24"/>
        </w:rPr>
        <w:t>.</w:t>
      </w:r>
      <w:r w:rsidR="00664416">
        <w:rPr>
          <w:sz w:val="24"/>
          <w:szCs w:val="24"/>
        </w:rPr>
        <w:t>293</w:t>
      </w:r>
      <w:r w:rsidR="00F76700">
        <w:rPr>
          <w:sz w:val="24"/>
          <w:szCs w:val="24"/>
        </w:rPr>
        <w:t>,</w:t>
      </w:r>
      <w:r w:rsidR="009D6056">
        <w:rPr>
          <w:sz w:val="24"/>
          <w:szCs w:val="24"/>
        </w:rPr>
        <w:t>3</w:t>
      </w:r>
      <w:r w:rsidR="00664416">
        <w:rPr>
          <w:sz w:val="24"/>
          <w:szCs w:val="24"/>
        </w:rPr>
        <w:t>7</w:t>
      </w:r>
      <w:bookmarkStart w:id="0" w:name="_GoBack"/>
      <w:bookmarkEnd w:id="0"/>
      <w:r w:rsidRPr="00BF1732">
        <w:rPr>
          <w:sz w:val="24"/>
          <w:szCs w:val="24"/>
        </w:rPr>
        <w:t>.</w:t>
      </w:r>
    </w:p>
    <w:p w:rsidR="005F7E95" w:rsidRPr="00BF1732" w:rsidRDefault="00864CC3">
      <w:pPr>
        <w:rPr>
          <w:sz w:val="24"/>
          <w:szCs w:val="24"/>
        </w:rPr>
      </w:pPr>
      <w:r w:rsidRPr="00BF1732">
        <w:rPr>
          <w:sz w:val="24"/>
          <w:szCs w:val="24"/>
        </w:rPr>
        <w:t xml:space="preserve">V007-stanje dospjelih obveza na kraju izvještajnog razdoblja iznosi </w:t>
      </w:r>
      <w:r w:rsidR="009D6056">
        <w:rPr>
          <w:sz w:val="24"/>
          <w:szCs w:val="24"/>
        </w:rPr>
        <w:t>0,01</w:t>
      </w:r>
      <w:r w:rsidRPr="00BF1732">
        <w:rPr>
          <w:sz w:val="24"/>
          <w:szCs w:val="24"/>
        </w:rPr>
        <w:t xml:space="preserve">. </w:t>
      </w:r>
    </w:p>
    <w:p w:rsidR="001175B3" w:rsidRDefault="00864CC3">
      <w:pPr>
        <w:rPr>
          <w:sz w:val="24"/>
          <w:szCs w:val="24"/>
        </w:rPr>
      </w:pPr>
      <w:r w:rsidRPr="00BF1732">
        <w:rPr>
          <w:sz w:val="24"/>
          <w:szCs w:val="24"/>
        </w:rPr>
        <w:t>V009-stanje nedospjelih obveza na kraju izvještajnog razdoblja odnosi se na plaću za prosinac. 2022. godine</w:t>
      </w:r>
      <w:r w:rsidR="009D6056">
        <w:rPr>
          <w:sz w:val="24"/>
          <w:szCs w:val="24"/>
        </w:rPr>
        <w:t xml:space="preserve"> i na obveze za rashode poslovanja koje dospijevaju na plaćanje u 2023. godini</w:t>
      </w:r>
      <w:r w:rsidRPr="00BF1732">
        <w:rPr>
          <w:sz w:val="24"/>
          <w:szCs w:val="24"/>
        </w:rPr>
        <w:t xml:space="preserve"> </w:t>
      </w:r>
      <w:r w:rsidR="00DE1D0D" w:rsidRPr="00BF1732">
        <w:rPr>
          <w:sz w:val="24"/>
          <w:szCs w:val="24"/>
        </w:rPr>
        <w:t xml:space="preserve">(ND 23) i V010 međusobne obveze subjekata općeg proračuna –naknade za bolovanje na teret HZZO. </w:t>
      </w:r>
      <w:r w:rsidRPr="00BF1732">
        <w:rPr>
          <w:sz w:val="24"/>
          <w:szCs w:val="24"/>
        </w:rPr>
        <w:t xml:space="preserve"> </w:t>
      </w:r>
    </w:p>
    <w:p w:rsidR="00854B5D" w:rsidRDefault="00854B5D">
      <w:pPr>
        <w:rPr>
          <w:sz w:val="24"/>
          <w:szCs w:val="24"/>
        </w:rPr>
      </w:pPr>
      <w:r>
        <w:rPr>
          <w:sz w:val="24"/>
          <w:szCs w:val="24"/>
        </w:rPr>
        <w:t>Našice, 27.siječnja 2023. godine</w:t>
      </w:r>
    </w:p>
    <w:p w:rsidR="00F66DC4" w:rsidRDefault="00F66DC4">
      <w:pPr>
        <w:rPr>
          <w:sz w:val="24"/>
          <w:szCs w:val="24"/>
        </w:rPr>
      </w:pPr>
    </w:p>
    <w:p w:rsidR="00854B5D" w:rsidRDefault="00854B5D">
      <w:pPr>
        <w:rPr>
          <w:sz w:val="24"/>
          <w:szCs w:val="24"/>
        </w:rPr>
      </w:pPr>
      <w:r>
        <w:rPr>
          <w:sz w:val="24"/>
          <w:szCs w:val="24"/>
        </w:rPr>
        <w:t>Izvještaj sastavila:                                                                               Ravnateljica škole:</w:t>
      </w:r>
    </w:p>
    <w:p w:rsidR="00854B5D" w:rsidRDefault="00854B5D">
      <w:pPr>
        <w:rPr>
          <w:sz w:val="24"/>
          <w:szCs w:val="24"/>
        </w:rPr>
      </w:pPr>
    </w:p>
    <w:p w:rsidR="00854B5D" w:rsidRDefault="00854B5D">
      <w:pPr>
        <w:rPr>
          <w:sz w:val="24"/>
          <w:szCs w:val="24"/>
        </w:rPr>
      </w:pPr>
    </w:p>
    <w:p w:rsidR="00854B5D" w:rsidRDefault="00854B5D">
      <w:pPr>
        <w:rPr>
          <w:sz w:val="24"/>
          <w:szCs w:val="24"/>
        </w:rPr>
      </w:pPr>
      <w:r>
        <w:rPr>
          <w:sz w:val="24"/>
          <w:szCs w:val="24"/>
        </w:rPr>
        <w:t xml:space="preserve">Jasminka Živković                                                                                  Vlatka </w:t>
      </w:r>
      <w:proofErr w:type="spellStart"/>
      <w:r>
        <w:rPr>
          <w:sz w:val="24"/>
          <w:szCs w:val="24"/>
        </w:rPr>
        <w:t>Zahirović,prof</w:t>
      </w:r>
      <w:proofErr w:type="spellEnd"/>
      <w:r>
        <w:rPr>
          <w:sz w:val="24"/>
          <w:szCs w:val="24"/>
        </w:rPr>
        <w:t>.</w:t>
      </w:r>
    </w:p>
    <w:p w:rsidR="00854B5D" w:rsidRDefault="00854B5D">
      <w:pPr>
        <w:rPr>
          <w:sz w:val="24"/>
          <w:szCs w:val="24"/>
        </w:rPr>
      </w:pPr>
      <w:r>
        <w:rPr>
          <w:sz w:val="24"/>
          <w:szCs w:val="24"/>
        </w:rPr>
        <w:t>Telefon za kontakt: 031/617-851</w:t>
      </w:r>
    </w:p>
    <w:p w:rsidR="00854B5D" w:rsidRDefault="00854B5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5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4F7F"/>
    <w:multiLevelType w:val="hybridMultilevel"/>
    <w:tmpl w:val="65282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037C"/>
    <w:multiLevelType w:val="hybridMultilevel"/>
    <w:tmpl w:val="7946D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4E7"/>
    <w:multiLevelType w:val="hybridMultilevel"/>
    <w:tmpl w:val="40BCB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3"/>
    <w:rsid w:val="000026D8"/>
    <w:rsid w:val="000A48CD"/>
    <w:rsid w:val="001175B3"/>
    <w:rsid w:val="002517C2"/>
    <w:rsid w:val="002B4C5C"/>
    <w:rsid w:val="002C4A06"/>
    <w:rsid w:val="002E4A42"/>
    <w:rsid w:val="00437C2C"/>
    <w:rsid w:val="00455E13"/>
    <w:rsid w:val="0059444A"/>
    <w:rsid w:val="005A4BD4"/>
    <w:rsid w:val="005F7E95"/>
    <w:rsid w:val="0061589A"/>
    <w:rsid w:val="00664416"/>
    <w:rsid w:val="006C498F"/>
    <w:rsid w:val="007771D7"/>
    <w:rsid w:val="007815B3"/>
    <w:rsid w:val="00854B5D"/>
    <w:rsid w:val="00864CC3"/>
    <w:rsid w:val="009D6056"/>
    <w:rsid w:val="009D7C37"/>
    <w:rsid w:val="009F5854"/>
    <w:rsid w:val="00A148E8"/>
    <w:rsid w:val="00A44237"/>
    <w:rsid w:val="00A90726"/>
    <w:rsid w:val="00B158EE"/>
    <w:rsid w:val="00B1708C"/>
    <w:rsid w:val="00B3595C"/>
    <w:rsid w:val="00B60F32"/>
    <w:rsid w:val="00B93BAC"/>
    <w:rsid w:val="00BF1732"/>
    <w:rsid w:val="00C70623"/>
    <w:rsid w:val="00C86647"/>
    <w:rsid w:val="00DD5AF7"/>
    <w:rsid w:val="00DE1D0D"/>
    <w:rsid w:val="00DF523C"/>
    <w:rsid w:val="00E754D8"/>
    <w:rsid w:val="00F02565"/>
    <w:rsid w:val="00F25990"/>
    <w:rsid w:val="00F66DC4"/>
    <w:rsid w:val="00F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A0BD-A1DD-4119-8CD2-8D527DB3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dcterms:created xsi:type="dcterms:W3CDTF">2023-01-23T10:47:00Z</dcterms:created>
  <dcterms:modified xsi:type="dcterms:W3CDTF">2023-01-27T09:45:00Z</dcterms:modified>
</cp:coreProperties>
</file>